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8A29" w14:textId="77777777" w:rsidR="00895A65" w:rsidRDefault="00895A65" w:rsidP="00895A65">
      <w:pPr>
        <w:pStyle w:val="NormalWeb"/>
        <w:spacing w:before="0" w:beforeAutospacing="0" w:after="180" w:afterAutospacing="0"/>
        <w:rPr>
          <w:rFonts w:ascii="Times New Roman" w:hAnsi="Times New Roman" w:cs="Times New Roman"/>
          <w:color w:val="000000"/>
          <w:sz w:val="29"/>
          <w:szCs w:val="29"/>
        </w:rPr>
      </w:pPr>
    </w:p>
    <w:p w14:paraId="655BBC1B" w14:textId="3AA7849C" w:rsidR="005371D0" w:rsidRDefault="005371D0" w:rsidP="00895A65">
      <w:pPr>
        <w:pStyle w:val="NormalWeb"/>
        <w:spacing w:before="0" w:beforeAutospacing="0" w:after="180" w:afterAutospacing="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noProof/>
          <w:color w:val="000000"/>
        </w:rPr>
        <w:drawing>
          <wp:inline distT="0" distB="0" distL="0" distR="0" wp14:anchorId="2FC74535" wp14:editId="1200902B">
            <wp:extent cx="4648200" cy="1257300"/>
            <wp:effectExtent l="0" t="0" r="0" b="0"/>
            <wp:docPr id="1588208383" name="Picture 1" descr="signature_178558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_1785581743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45693" w14:textId="77777777" w:rsidR="005371D0" w:rsidRDefault="005371D0" w:rsidP="00895A65">
      <w:pPr>
        <w:pStyle w:val="NormalWeb"/>
        <w:spacing w:before="0" w:beforeAutospacing="0" w:after="180" w:afterAutospacing="0"/>
        <w:rPr>
          <w:rFonts w:ascii="Times New Roman" w:hAnsi="Times New Roman" w:cs="Times New Roman"/>
          <w:color w:val="000000"/>
          <w:sz w:val="29"/>
          <w:szCs w:val="29"/>
        </w:rPr>
      </w:pPr>
    </w:p>
    <w:p w14:paraId="15FC528B" w14:textId="77777777" w:rsidR="005371D0" w:rsidRPr="005371D0" w:rsidRDefault="005371D0" w:rsidP="005371D0">
      <w:pPr>
        <w:pStyle w:val="NormalWeb"/>
        <w:spacing w:before="0" w:beforeAutospacing="0" w:after="180" w:afterAutospacing="0"/>
        <w:rPr>
          <w:rFonts w:ascii="Arial" w:hAnsi="Arial" w:cs="Arial"/>
          <w:b/>
          <w:bCs/>
          <w:color w:val="000000"/>
          <w:sz w:val="29"/>
          <w:szCs w:val="29"/>
        </w:rPr>
      </w:pPr>
      <w:r w:rsidRPr="005371D0">
        <w:rPr>
          <w:rFonts w:ascii="Arial" w:hAnsi="Arial" w:cs="Arial"/>
          <w:b/>
          <w:bCs/>
          <w:color w:val="000000"/>
          <w:sz w:val="29"/>
          <w:szCs w:val="29"/>
        </w:rPr>
        <w:t>Red House-Programme of Enabling Works</w:t>
      </w:r>
    </w:p>
    <w:p w14:paraId="1FA64106" w14:textId="77777777" w:rsidR="005371D0" w:rsidRPr="005371D0" w:rsidRDefault="005371D0" w:rsidP="00895A65">
      <w:pPr>
        <w:pStyle w:val="NormalWeb"/>
        <w:spacing w:before="0" w:beforeAutospacing="0" w:after="180" w:afterAutospacing="0"/>
        <w:rPr>
          <w:rFonts w:ascii="Arial" w:hAnsi="Arial" w:cs="Arial"/>
          <w:color w:val="000000"/>
          <w:sz w:val="29"/>
          <w:szCs w:val="29"/>
        </w:rPr>
      </w:pPr>
    </w:p>
    <w:p w14:paraId="71E995B0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  <w:color w:val="000000"/>
          <w:sz w:val="29"/>
          <w:szCs w:val="29"/>
        </w:rPr>
      </w:pPr>
    </w:p>
    <w:p w14:paraId="577A034C" w14:textId="6861258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1</w:t>
      </w:r>
    </w:p>
    <w:p w14:paraId="7EDD4D0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Pre-Start &amp; Groundworks Setup</w:t>
      </w:r>
    </w:p>
    <w:p w14:paraId="0AE0FE42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Mobilisation, welfare, hoarding, groundworks establishment.</w:t>
      </w:r>
    </w:p>
    <w:p w14:paraId="7486CF10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Pre-Start &amp; Groundworks Setup</w:t>
      </w:r>
    </w:p>
    <w:p w14:paraId="72C295A4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Start permitted, but operations run approximately two weeks behind Plot 1 to comply with staggered phasing.</w:t>
      </w:r>
    </w:p>
    <w:p w14:paraId="2DF3A619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Red House – Site Preparation &amp; Protection Works</w:t>
      </w:r>
    </w:p>
    <w:p w14:paraId="7737C7BF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Cleaning, clearance, protective measures.</w:t>
      </w:r>
    </w:p>
    <w:p w14:paraId="31F6F335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69DD05CD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2</w:t>
      </w:r>
    </w:p>
    <w:p w14:paraId="5F348999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Foundations Preparation.</w:t>
      </w:r>
    </w:p>
    <w:p w14:paraId="7D8FA3A5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Foundations Preparation.</w:t>
      </w:r>
    </w:p>
    <w:p w14:paraId="0A85F4D2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Red House – Internal Strip-Out &amp; Temporary Works</w:t>
      </w:r>
    </w:p>
    <w:p w14:paraId="500DC3C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3B1C7891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3</w:t>
      </w:r>
    </w:p>
    <w:p w14:paraId="4E4A3342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Ground Floor Build-Up, Slab &amp; Drainage  </w:t>
      </w:r>
    </w:p>
    <w:p w14:paraId="0F9D49FD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 xml:space="preserve">• Plot 2 – </w:t>
      </w:r>
      <w:r w:rsidRPr="005371D0">
        <w:rPr>
          <w:rFonts w:ascii="Arial" w:hAnsi="Arial" w:cs="Arial"/>
          <w:color w:val="000000"/>
          <w:sz w:val="29"/>
          <w:szCs w:val="29"/>
          <w:shd w:val="clear" w:color="auto" w:fill="FFFFFF"/>
        </w:rPr>
        <w:t>Ground Floor Build-Up, Slab &amp; drainage</w:t>
      </w:r>
    </w:p>
    <w:p w14:paraId="202C2EAD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Sequenced 2–3 weeks behind Plot 1 to allow lead times and staggered deliveries/phasing</w:t>
      </w:r>
    </w:p>
    <w:p w14:paraId="5A076C6D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lastRenderedPageBreak/>
        <w:t>• Red House – Structural Masonry Repairs</w:t>
      </w:r>
    </w:p>
    <w:p w14:paraId="69D779AC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Wall stitching, structural integrity improvements.</w:t>
      </w:r>
    </w:p>
    <w:p w14:paraId="0A63A0CB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2B1C2F0A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4</w:t>
      </w:r>
    </w:p>
    <w:p w14:paraId="73455B4F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Timber Frame Erection</w:t>
      </w:r>
    </w:p>
    <w:p w14:paraId="46CCED3F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Drainage / schedule spacing</w:t>
      </w:r>
    </w:p>
    <w:p w14:paraId="3EB653FE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Scheduled to avoid crane overlap and maintain staggered delivery.</w:t>
      </w:r>
    </w:p>
    <w:p w14:paraId="73C10366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Red House – Roof structure &amp; Structural Reinforcement</w:t>
      </w:r>
    </w:p>
    <w:p w14:paraId="4EAC4EE0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435AB3BA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5</w:t>
      </w:r>
    </w:p>
    <w:p w14:paraId="09ADC3EF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Roof Structure &amp; Weatherproof Shell</w:t>
      </w:r>
    </w:p>
    <w:p w14:paraId="6A4267BC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Timber Frame Erection</w:t>
      </w:r>
    </w:p>
    <w:p w14:paraId="1092952E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May proceed only once Plot 2 sale is authorised.</w:t>
      </w:r>
    </w:p>
    <w:p w14:paraId="6271BF2E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Red House – External Envelope Works (incl. New Windows)</w:t>
      </w:r>
    </w:p>
    <w:p w14:paraId="40C02DC3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External repairs, masonry works, chimney, and installation of new windows.</w:t>
      </w:r>
    </w:p>
    <w:p w14:paraId="27A87AD1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 xml:space="preserve">Programme reassessment for a new programme to </w:t>
      </w:r>
      <w:proofErr w:type="gramStart"/>
      <w:r w:rsidRPr="005371D0">
        <w:rPr>
          <w:rFonts w:ascii="Arial" w:hAnsi="Arial" w:cs="Arial"/>
          <w:color w:val="000000"/>
          <w:sz w:val="29"/>
          <w:szCs w:val="29"/>
        </w:rPr>
        <w:t>continue on</w:t>
      </w:r>
      <w:proofErr w:type="gramEnd"/>
      <w:r w:rsidRPr="005371D0">
        <w:rPr>
          <w:rFonts w:ascii="Arial" w:hAnsi="Arial" w:cs="Arial"/>
          <w:color w:val="000000"/>
          <w:sz w:val="29"/>
          <w:szCs w:val="29"/>
        </w:rPr>
        <w:t xml:space="preserve"> completion of plot 2</w:t>
      </w:r>
    </w:p>
    <w:p w14:paraId="057C69C3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10F21C68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6</w:t>
      </w:r>
    </w:p>
    <w:p w14:paraId="33388EF5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External Envelope Brickwork &amp; Facades</w:t>
      </w:r>
    </w:p>
    <w:p w14:paraId="1BD12A4B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Roof Structure &amp; Weatherproof Shell</w:t>
      </w:r>
    </w:p>
    <w:p w14:paraId="42503831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May advance only if Red House Month 5 milestone is achieved and authorised.</w:t>
      </w:r>
    </w:p>
    <w:p w14:paraId="1A888B71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035A2726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7</w:t>
      </w:r>
    </w:p>
    <w:p w14:paraId="349CA004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First Fix M&amp;E and Underfloor Heating</w:t>
      </w:r>
    </w:p>
    <w:p w14:paraId="77B390AB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External Envelope Brickwork</w:t>
      </w:r>
    </w:p>
    <w:p w14:paraId="3EC1DA72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2DE617AA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lastRenderedPageBreak/>
        <w:t>MONTH 8</w:t>
      </w:r>
    </w:p>
    <w:p w14:paraId="6F269CD6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Screeds, Plasterboard &amp; Airtightness</w:t>
      </w:r>
    </w:p>
    <w:p w14:paraId="375BB3E8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First Fix M&amp;E and Underfloor Heating</w:t>
      </w:r>
    </w:p>
    <w:p w14:paraId="54118FFD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40CDCC6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9</w:t>
      </w:r>
    </w:p>
    <w:p w14:paraId="3227700C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Plastering &amp; External Finishes</w:t>
      </w:r>
    </w:p>
    <w:p w14:paraId="2E02540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Screeds &amp; Plasterboard</w:t>
      </w:r>
    </w:p>
    <w:p w14:paraId="2A5E57F4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0060E31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1FF4ACB8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10</w:t>
      </w:r>
    </w:p>
    <w:p w14:paraId="0892CDA4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Second Fix M&amp;E &amp; Carpentry</w:t>
      </w:r>
    </w:p>
    <w:p w14:paraId="02E7B053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Plastering &amp; External Finishes</w:t>
      </w:r>
    </w:p>
    <w:p w14:paraId="0D6405EB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5143D0D4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11</w:t>
      </w:r>
    </w:p>
    <w:p w14:paraId="31AF384C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Decoration, Flooring &amp; Final Fix</w:t>
      </w:r>
    </w:p>
    <w:p w14:paraId="2A0F88F0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Second Fix M&amp;E &amp; Carpentry</w:t>
      </w:r>
    </w:p>
    <w:p w14:paraId="3105240C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2D44B76D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12</w:t>
      </w:r>
    </w:p>
    <w:p w14:paraId="403DACFC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1 – External Works &amp; Practical Completion</w:t>
      </w:r>
    </w:p>
    <w:p w14:paraId="192217F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Decoration &amp; Final Fix</w:t>
      </w:r>
    </w:p>
    <w:p w14:paraId="4BFE1F18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6EFBB6AE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13</w:t>
      </w:r>
    </w:p>
    <w:p w14:paraId="499C1EAE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External Works</w:t>
      </w:r>
    </w:p>
    <w:p w14:paraId="0551E197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Begins after Plot 1 handover and planning confirmation.</w:t>
      </w:r>
    </w:p>
    <w:p w14:paraId="3148124E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34F319DF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MONTH 14</w:t>
      </w:r>
    </w:p>
    <w:p w14:paraId="6D344A30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>• Plot 2 – Practical Completion &amp; Handover</w:t>
      </w:r>
    </w:p>
    <w:p w14:paraId="0A0F0CE6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7E6E97F6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73C8B259" w14:textId="77777777" w:rsidR="00895A65" w:rsidRPr="005371D0" w:rsidRDefault="00895A65" w:rsidP="00895A65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371D0">
        <w:rPr>
          <w:rFonts w:ascii="Arial" w:hAnsi="Arial" w:cs="Arial"/>
          <w:color w:val="000000"/>
          <w:sz w:val="29"/>
          <w:szCs w:val="29"/>
        </w:rPr>
        <w:t xml:space="preserve">Following the completion and sale of Plot 2, internal refurbishment and </w:t>
      </w:r>
      <w:proofErr w:type="gramStart"/>
      <w:r w:rsidRPr="005371D0">
        <w:rPr>
          <w:rFonts w:ascii="Arial" w:hAnsi="Arial" w:cs="Arial"/>
          <w:color w:val="000000"/>
          <w:sz w:val="29"/>
          <w:szCs w:val="29"/>
        </w:rPr>
        <w:t>fit-out</w:t>
      </w:r>
      <w:proofErr w:type="gramEnd"/>
      <w:r w:rsidRPr="005371D0">
        <w:rPr>
          <w:rFonts w:ascii="Arial" w:hAnsi="Arial" w:cs="Arial"/>
          <w:color w:val="000000"/>
          <w:sz w:val="29"/>
          <w:szCs w:val="29"/>
        </w:rPr>
        <w:t xml:space="preserve"> works to the Red House will continue beyond the current programme. These works will progress under a separate internal works package, sequenced to commence once Plot 2 handover and associated planning obligations have been discharged.</w:t>
      </w:r>
    </w:p>
    <w:p w14:paraId="2F5DCE5F" w14:textId="77777777" w:rsidR="00AA4428" w:rsidRDefault="00AA4428">
      <w:pPr>
        <w:rPr>
          <w:rFonts w:ascii="Arial" w:hAnsi="Arial" w:cs="Arial"/>
        </w:rPr>
      </w:pPr>
    </w:p>
    <w:p w14:paraId="45CC4252" w14:textId="77777777" w:rsidR="006D4EB3" w:rsidRDefault="006D4EB3">
      <w:pPr>
        <w:rPr>
          <w:rFonts w:ascii="Arial" w:hAnsi="Arial" w:cs="Arial"/>
        </w:rPr>
      </w:pPr>
    </w:p>
    <w:p w14:paraId="077E308F" w14:textId="77777777" w:rsidR="006D4EB3" w:rsidRDefault="006D4EB3">
      <w:pPr>
        <w:rPr>
          <w:rFonts w:ascii="Arial" w:hAnsi="Arial" w:cs="Arial"/>
        </w:rPr>
      </w:pPr>
    </w:p>
    <w:p w14:paraId="63F5485F" w14:textId="472D1155" w:rsidR="006D4EB3" w:rsidRPr="006D4EB3" w:rsidRDefault="006D4EB3">
      <w:pPr>
        <w:rPr>
          <w:rFonts w:ascii="Arial" w:hAnsi="Arial" w:cs="Arial"/>
          <w:sz w:val="28"/>
          <w:szCs w:val="28"/>
        </w:rPr>
      </w:pPr>
      <w:r w:rsidRPr="006D4EB3">
        <w:rPr>
          <w:rFonts w:ascii="Arial" w:hAnsi="Arial" w:cs="Arial"/>
          <w:sz w:val="28"/>
          <w:szCs w:val="28"/>
        </w:rPr>
        <w:t>Jordan Howe</w:t>
      </w:r>
      <w:r>
        <w:rPr>
          <w:rFonts w:ascii="Arial" w:hAnsi="Arial" w:cs="Arial"/>
          <w:sz w:val="28"/>
          <w:szCs w:val="28"/>
        </w:rPr>
        <w:t xml:space="preserve"> on Behalf of Howe Rigout and Construction</w:t>
      </w:r>
    </w:p>
    <w:sectPr w:rsidR="006D4EB3" w:rsidRPr="006D4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A65"/>
    <w:rsid w:val="005371D0"/>
    <w:rsid w:val="006D4EB3"/>
    <w:rsid w:val="00895A65"/>
    <w:rsid w:val="00AA4428"/>
    <w:rsid w:val="00C6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B64D"/>
  <w15:chartTrackingRefBased/>
  <w15:docId w15:val="{EED4AE4C-C5FE-4E2C-8714-E0F26334E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A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A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A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A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A6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95A65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AA6F8.B98803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404</Words>
  <Characters>2227</Characters>
  <Application>Microsoft Office Word</Application>
  <DocSecurity>0</DocSecurity>
  <Lines>89</Lines>
  <Paragraphs>71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Clark</dc:creator>
  <cp:keywords/>
  <dc:description/>
  <cp:lastModifiedBy>Paul Clark</cp:lastModifiedBy>
  <cp:revision>3</cp:revision>
  <dcterms:created xsi:type="dcterms:W3CDTF">2025-11-14T09:19:00Z</dcterms:created>
  <dcterms:modified xsi:type="dcterms:W3CDTF">2025-11-14T09:24:00Z</dcterms:modified>
</cp:coreProperties>
</file>