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rPr>
          <w:b/>
          <w:bCs/>
          <w:u w:val="single" w:color="auto"/>
          <w:lang w:val="en-UK"/>
        </w:rPr>
      </w:pPr>
      <w:r>
        <w:rPr>
          <w:b/>
          <w:bCs/>
          <w:u w:val="single" w:color="auto"/>
          <w:lang w:val="en-UK"/>
        </w:rPr>
        <w:t>Servicing Method Statement for refuse disposal and collection in respect of conversion of stables and garage into 3no. self contained holiday lets at Higher Moorgate Cottage, Gristlehurst Lane, Heywood, OL10 4BJ.</w:t>
      </w:r>
    </w:p>
    <w:p>
      <w:pPr>
        <w:rPr>
          <w:lang w:val="en-UK"/>
        </w:rPr>
      </w:pPr>
    </w:p>
    <w:p>
      <w:pPr>
        <w:rPr>
          <w:b/>
          <w:bCs/>
          <w:u w:val="single" w:color="auto"/>
          <w:lang w:val="en-UK"/>
        </w:rPr>
      </w:pPr>
    </w:p>
    <w:p>
      <w:pPr>
        <w:rPr>
          <w:b/>
          <w:bCs/>
          <w:u w:val="single" w:color="auto"/>
          <w:lang w:val="en-UK"/>
        </w:rPr>
      </w:pPr>
      <w:r>
        <w:rPr>
          <w:b/>
          <w:bCs/>
          <w:u w:val="single" w:color="auto"/>
          <w:lang w:val="en-UK"/>
        </w:rPr>
        <w:t>Existing bin storage and collection</w:t>
      </w:r>
    </w:p>
    <w:p>
      <w:pPr>
        <w:rPr>
          <w:lang w:val="en-UK"/>
        </w:rPr>
      </w:pPr>
    </w:p>
    <w:p>
      <w:pPr>
        <w:rPr>
          <w:lang w:val="en-UK"/>
        </w:rPr>
      </w:pPr>
      <w:r>
        <w:rPr>
          <w:lang w:val="en-UK"/>
        </w:rPr>
        <w:t xml:space="preserve">There is an existing wheelie bin collection point approximately 20 metres from the junction of Bury and Rochdale Old Road and the site access road which is currently used by the occupants of Higher Moorgate Cottage who take their bin bags to the collection point and put them in the wheelie bins for collection by the Local Authority on a weekly basis. The bins remain there and the owners </w:t>
      </w:r>
      <w:r>
        <w:rPr>
          <w:rFonts w:hint="default"/>
          <w:lang w:val="en-UK"/>
        </w:rPr>
        <w:t>‘tidy up’ after collection to ensure that the bins do not obstruct the access.</w:t>
      </w:r>
    </w:p>
    <w:p>
      <w:pPr>
        <w:rPr>
          <w:lang w:val="en-UK"/>
        </w:rPr>
      </w:pPr>
    </w:p>
    <w:p>
      <w:pPr>
        <w:rPr>
          <w:lang w:val="en-UK"/>
        </w:rPr>
      </w:pPr>
      <w:r>
        <w:rPr>
          <w:lang w:val="en-UK"/>
        </w:rPr>
        <w:t>The occupiers of Higher Moorgate Farm have their own independent access and collection point on Gristlehurst Lane.</w:t>
      </w:r>
    </w:p>
    <w:p>
      <w:pPr>
        <w:rPr>
          <w:lang w:val="en-UK"/>
        </w:rPr>
      </w:pPr>
    </w:p>
    <w:p>
      <w:pPr>
        <w:rPr>
          <w:b/>
          <w:bCs/>
          <w:u w:val="single" w:color="auto"/>
          <w:lang w:val="en-UK"/>
        </w:rPr>
      </w:pPr>
    </w:p>
    <w:p>
      <w:pPr>
        <w:rPr>
          <w:b/>
          <w:bCs/>
          <w:u w:val="single" w:color="auto"/>
          <w:lang w:val="en-UK"/>
        </w:rPr>
      </w:pPr>
      <w:r>
        <w:rPr>
          <w:b/>
          <w:bCs/>
          <w:u w:val="single" w:color="auto"/>
          <w:lang w:val="en-UK"/>
        </w:rPr>
        <w:t>Proposed bin storage and collection for the holiday lets</w:t>
      </w:r>
    </w:p>
    <w:p>
      <w:pPr>
        <w:rPr>
          <w:lang w:val="en-UK"/>
        </w:rPr>
      </w:pPr>
    </w:p>
    <w:p>
      <w:pPr>
        <w:rPr>
          <w:lang w:val="en-UK"/>
        </w:rPr>
      </w:pPr>
      <w:r>
        <w:rPr>
          <w:lang w:val="en-UK"/>
        </w:rPr>
        <w:t>A concrete bin storage area will be provided adjacent to the south facing gable wall sufficient to accommodate 3 regular wheelie bins. Renters will be responsible for using the bins during their residence and the applicants, acting as the Management Company, will take the bin bags to the main bin storage area mentioned above, on a weekly basis, for it to be collected by their own private Waste Mana</w:t>
      </w:r>
      <w:bookmarkStart w:id="0" w:name="_GoBack"/>
      <w:bookmarkEnd w:id="0"/>
      <w:r>
        <w:rPr>
          <w:lang w:val="en-UK"/>
        </w:rPr>
        <w:t xml:space="preserve">gement Company. </w:t>
      </w:r>
    </w:p>
    <w:sectPr>
      <w:pgSz w:w="11849" w:h="16781"/>
      <w:pgMar w:top="1440" w:right="1117" w:bottom="1440" w:left="1117" w:header="1446" w:footer="1446" w:gutter="0"/>
      <w:paperSrc w:first="0" w:other="0"/>
      <w:cols w:space="720" w:num="1"/>
      <w:docGrid w:linePitch="2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SimHei">
    <w:altName w:val="SimSun"/>
    <w:panose1 w:val="02010600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nhideWhenUsed="0" w:uiPriority="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unhideWhenUsed="0" w:uiPriority="0" w:name="caption"/>
    <w:lsdException w:unhideWhenUsed="0"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nhideWhenUsed="0" w:uiPriority="0" w:name="table of authorities"/>
    <w:lsdException w:unhideWhenUsed="0" w:uiPriority="0" w:name="macro"/>
    <w:lsdException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annotation subject"/>
    <w:lsdException w:unhideWhenUsed="0" w:uiPriority="0" w:name="Balloon Text"/>
  </w:latentStyles>
  <w:style w:type="paragraph" w:default="1" w:styleId="1">
    <w:name w:val="Normal"/>
    <w:uiPriority w:val="0"/>
    <w:pPr>
      <w:widowControl w:val="0"/>
      <w:jc w:val="left"/>
    </w:pPr>
    <w:rPr>
      <w:rFonts w:ascii="Times New Roman" w:hAnsi="Times New Roman"/>
      <w:kern w:val="2"/>
      <w:sz w:val="24"/>
      <w:lang w:val="en-US" w:eastAsia="zh-CN"/>
    </w:rPr>
  </w:style>
  <w:style w:type="paragraph" w:styleId="2">
    <w:name w:val="heading 1"/>
    <w:basedOn w:val="1"/>
    <w:next w:val="1"/>
    <w:uiPriority w:val="0"/>
    <w:pPr>
      <w:keepNext/>
      <w:keepLines/>
      <w:spacing w:before="240" w:beforeAutospacing="0" w:after="60" w:afterAutospacing="0" w:line="240" w:lineRule="auto"/>
      <w:outlineLvl w:val="0"/>
    </w:pPr>
    <w:rPr>
      <w:rFonts w:ascii="Arial" w:hAnsi="Arial"/>
      <w:b/>
      <w:kern w:val="44"/>
      <w:sz w:val="32"/>
    </w:rPr>
  </w:style>
  <w:style w:type="paragraph" w:styleId="3">
    <w:name w:val="heading 2"/>
    <w:basedOn w:val="1"/>
    <w:next w:val="1"/>
    <w:uiPriority w:val="0"/>
    <w:pPr>
      <w:keepNext/>
      <w:keepLines/>
      <w:spacing w:before="240" w:beforeAutospacing="0" w:after="60" w:afterAutospacing="0" w:line="240" w:lineRule="auto"/>
      <w:outlineLvl w:val="1"/>
    </w:pPr>
    <w:rPr>
      <w:rFonts w:ascii="Arial" w:hAnsi="Arial"/>
      <w:b/>
      <w:i/>
      <w:sz w:val="28"/>
    </w:rPr>
  </w:style>
  <w:style w:type="paragraph" w:styleId="4">
    <w:name w:val="heading 3"/>
    <w:basedOn w:val="1"/>
    <w:next w:val="1"/>
    <w:uiPriority w:val="0"/>
    <w:pPr>
      <w:keepNext/>
      <w:keepLines/>
      <w:spacing w:before="240" w:beforeAutospacing="0" w:after="60" w:afterAutospacing="0" w:line="240" w:lineRule="auto"/>
      <w:outlineLvl w:val="2"/>
    </w:pPr>
    <w:rPr>
      <w:rFonts w:ascii="Arial" w:hAnsi="Arial"/>
      <w:b/>
      <w:sz w:val="26"/>
    </w:rPr>
  </w:style>
  <w:style w:type="paragraph" w:styleId="5">
    <w:name w:val="heading 4"/>
    <w:basedOn w:val="1"/>
    <w:next w:val="1"/>
    <w:uiPriority w:val="0"/>
    <w:pPr>
      <w:keepNext/>
      <w:keepLines/>
      <w:spacing w:before="240" w:beforeAutospacing="0" w:after="60" w:afterAutospacing="0" w:line="240" w:lineRule="auto"/>
      <w:outlineLvl w:val="3"/>
    </w:pPr>
    <w:rPr>
      <w:rFonts w:ascii="Times New Roman" w:hAnsi="Times New Roman"/>
      <w:b/>
      <w:sz w:val="28"/>
    </w:rPr>
  </w:style>
  <w:style w:type="paragraph" w:styleId="6">
    <w:name w:val="heading 5"/>
    <w:basedOn w:val="1"/>
    <w:next w:val="1"/>
    <w:uiPriority w:val="0"/>
    <w:pPr>
      <w:keepNext/>
      <w:keepLines/>
      <w:spacing w:before="240" w:beforeAutospacing="0" w:after="60" w:afterAutospacing="0" w:line="240" w:lineRule="auto"/>
      <w:outlineLvl w:val="4"/>
    </w:pPr>
    <w:rPr>
      <w:b/>
      <w:i/>
      <w:sz w:val="26"/>
    </w:rPr>
  </w:style>
  <w:style w:type="paragraph" w:styleId="7">
    <w:name w:val="heading 6"/>
    <w:basedOn w:val="1"/>
    <w:next w:val="1"/>
    <w:uiPriority w:val="0"/>
    <w:pPr>
      <w:keepNext/>
      <w:keepLines/>
      <w:spacing w:before="240" w:beforeAutospacing="0" w:after="60" w:afterAutospacing="0" w:line="240" w:lineRule="auto"/>
      <w:outlineLvl w:val="5"/>
    </w:pPr>
    <w:rPr>
      <w:rFonts w:ascii="Times New Roman" w:hAnsi="Times New Roman"/>
      <w:b/>
      <w:sz w:val="22"/>
    </w:rPr>
  </w:style>
  <w:style w:type="paragraph" w:styleId="8">
    <w:name w:val="heading 7"/>
    <w:basedOn w:val="1"/>
    <w:next w:val="1"/>
    <w:uiPriority w:val="0"/>
    <w:pPr>
      <w:keepNext/>
      <w:keepLines/>
      <w:spacing w:before="240" w:beforeAutospacing="0" w:after="60" w:afterAutospacing="0" w:line="240" w:lineRule="auto"/>
      <w:outlineLvl w:val="6"/>
    </w:pPr>
    <w:rPr>
      <w:sz w:val="24"/>
    </w:rPr>
  </w:style>
  <w:style w:type="paragraph" w:styleId="9">
    <w:name w:val="heading 8"/>
    <w:basedOn w:val="1"/>
    <w:next w:val="1"/>
    <w:uiPriority w:val="0"/>
    <w:pPr>
      <w:keepNext/>
      <w:keepLines/>
      <w:spacing w:before="240" w:beforeAutospacing="0" w:after="60" w:afterAutospacing="0" w:line="240" w:lineRule="auto"/>
      <w:outlineLvl w:val="7"/>
    </w:pPr>
    <w:rPr>
      <w:rFonts w:ascii="Times New Roman" w:hAnsi="Times New Roman"/>
      <w:i/>
      <w:sz w:val="24"/>
    </w:rPr>
  </w:style>
  <w:style w:type="paragraph" w:styleId="10">
    <w:name w:val="heading 9"/>
    <w:basedOn w:val="1"/>
    <w:next w:val="1"/>
    <w:uiPriority w:val="0"/>
    <w:pPr>
      <w:keepNext/>
      <w:keepLines/>
      <w:spacing w:before="240" w:beforeAutospacing="0" w:after="60" w:afterAutospacing="0" w:line="240" w:lineRule="auto"/>
      <w:outlineLvl w:val="8"/>
    </w:pPr>
    <w:rPr>
      <w:rFonts w:ascii="Arial" w:hAnsi="Arial"/>
      <w:sz w:val="22"/>
    </w:rPr>
  </w:style>
  <w:style w:type="character" w:default="1" w:styleId="13">
    <w:name w:val="Default Paragraph Font"/>
    <w:uiPriority w:val="0"/>
  </w:style>
  <w:style w:type="paragraph" w:styleId="11">
    <w:name w:val="footer"/>
    <w:basedOn w:val="1"/>
    <w:uiPriority w:val="0"/>
    <w:pPr>
      <w:tabs>
        <w:tab w:val="center" w:pos="4153"/>
        <w:tab w:val="right" w:pos="8306"/>
      </w:tabs>
      <w:snapToGrid w:val="0"/>
      <w:jc w:val="left"/>
    </w:pPr>
    <w:rPr>
      <w:sz w:val="18"/>
      <w:szCs w:val="18"/>
    </w:rPr>
  </w:style>
  <w:style w:type="paragraph" w:styleId="12">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1</Pages>
  <Words>0</Words>
  <Characters>0</Characters>
  <Lines>1</Lines>
  <Paragraphs>1</Paragraphs>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2010-05-06T13:11:00Z</dcterms:created>
  <dc:creator>Malcolm Percy</dc:creator>
  <cp:lastModifiedBy>Malcolm Percy</cp:lastModifiedBy>
  <cp:lastPrinted>1899-12-30T00:00:00Z</cp:lastPrinted>
  <dcterms:modified xsi:type="dcterms:W3CDTF">2023-07-03T13:37:03Z</dcterms:modified>
  <dc:title>Servicing Method Statement for refuse disposal and collection in respect of conversion of stables and garage into 3no. self contained holiday lets at Higher Moorgate Cottage, Gristlehurst Lane, Heywood, OL10 4BJ.</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