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4978" w14:textId="77777777" w:rsidR="006B4DEB" w:rsidRDefault="006B4DEB">
      <w:pPr>
        <w:jc w:val="center"/>
        <w:rPr>
          <w:rFonts w:ascii="Tahoma" w:hAnsi="Tahoma" w:cs="Tahoma"/>
          <w:color w:val="000000"/>
        </w:rPr>
      </w:pPr>
    </w:p>
    <w:p w14:paraId="3821F4D8" w14:textId="1DCEF3D2" w:rsidR="00070598" w:rsidRPr="009C350A" w:rsidRDefault="00FC6742" w:rsidP="003D6271">
      <w:pPr>
        <w:tabs>
          <w:tab w:val="left" w:pos="0"/>
        </w:tabs>
        <w:spacing w:line="360" w:lineRule="auto"/>
        <w:jc w:val="center"/>
        <w:rPr>
          <w:rFonts w:cs="Arial"/>
          <w:bCs/>
          <w:color w:val="000000"/>
        </w:rPr>
      </w:pPr>
      <w:r w:rsidRPr="00A11472">
        <w:rPr>
          <w:rFonts w:cs="Arial"/>
          <w:b/>
          <w:bCs/>
          <w:szCs w:val="22"/>
        </w:rPr>
        <w:t xml:space="preserve">Proposed </w:t>
      </w:r>
      <w:r w:rsidR="003D6271">
        <w:rPr>
          <w:rFonts w:cs="Arial"/>
          <w:b/>
          <w:bCs/>
          <w:szCs w:val="22"/>
        </w:rPr>
        <w:t xml:space="preserve">agricultural building, </w:t>
      </w:r>
      <w:r w:rsidR="00EE411E">
        <w:rPr>
          <w:rFonts w:cs="Arial"/>
          <w:b/>
          <w:bCs/>
          <w:szCs w:val="22"/>
        </w:rPr>
        <w:t>Long Clough Farm, Clough Road, Littleborough OL15 9PA</w:t>
      </w:r>
    </w:p>
    <w:p w14:paraId="496228D9" w14:textId="77777777" w:rsidR="00070598" w:rsidRPr="00B142B4" w:rsidRDefault="00070598" w:rsidP="00B142B4">
      <w:pPr>
        <w:tabs>
          <w:tab w:val="left" w:pos="0"/>
        </w:tabs>
        <w:jc w:val="center"/>
        <w:rPr>
          <w:rFonts w:cs="Arial"/>
          <w:b/>
          <w:color w:val="000000"/>
        </w:rPr>
      </w:pPr>
    </w:p>
    <w:p w14:paraId="766A5E1E" w14:textId="2EB750DC" w:rsidR="006B4DEB" w:rsidRPr="00B142B4" w:rsidRDefault="006B4DEB" w:rsidP="00B142B4">
      <w:pPr>
        <w:jc w:val="center"/>
        <w:rPr>
          <w:rFonts w:cs="Arial"/>
          <w:b/>
          <w:color w:val="000000"/>
        </w:rPr>
      </w:pPr>
      <w:r w:rsidRPr="00B142B4">
        <w:rPr>
          <w:rFonts w:cs="Arial"/>
          <w:b/>
          <w:color w:val="000000"/>
        </w:rPr>
        <w:t>Planning Statement</w:t>
      </w:r>
      <w:r w:rsidR="00070598">
        <w:rPr>
          <w:rFonts w:cs="Arial"/>
          <w:b/>
          <w:color w:val="000000"/>
        </w:rPr>
        <w:t xml:space="preserve"> </w:t>
      </w:r>
    </w:p>
    <w:p w14:paraId="69A9A33A" w14:textId="77777777" w:rsidR="00D07ECA" w:rsidRDefault="00D07ECA" w:rsidP="00087598">
      <w:pPr>
        <w:rPr>
          <w:rFonts w:ascii="Tahoma" w:hAnsi="Tahoma" w:cs="Tahoma"/>
          <w:color w:val="000000"/>
        </w:rPr>
      </w:pPr>
    </w:p>
    <w:p w14:paraId="7676C8C2" w14:textId="526E159D" w:rsidR="00D07ECA" w:rsidRDefault="003329E0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Ref:AG.270125.B</w:t>
      </w:r>
    </w:p>
    <w:p w14:paraId="4C1773A0" w14:textId="77777777" w:rsidR="00087598" w:rsidRDefault="00087598" w:rsidP="00087598">
      <w:pPr>
        <w:rPr>
          <w:rFonts w:ascii="Tahoma" w:hAnsi="Tahoma" w:cs="Tahoma"/>
          <w:color w:val="000000"/>
        </w:rPr>
      </w:pPr>
    </w:p>
    <w:p w14:paraId="3ABBABF9" w14:textId="77777777" w:rsidR="00087598" w:rsidRDefault="00087598" w:rsidP="00087598">
      <w:pPr>
        <w:rPr>
          <w:rFonts w:ascii="Tahoma" w:hAnsi="Tahoma" w:cs="Tahoma"/>
          <w:color w:val="000000"/>
        </w:rPr>
      </w:pPr>
    </w:p>
    <w:p w14:paraId="4CC14A0B" w14:textId="3603DBE7" w:rsidR="00087598" w:rsidRDefault="00087598" w:rsidP="002A60C9">
      <w:pPr>
        <w:jc w:val="center"/>
        <w:rPr>
          <w:rFonts w:ascii="Tahoma" w:hAnsi="Tahoma" w:cs="Tahoma"/>
          <w:color w:val="000000"/>
        </w:rPr>
      </w:pPr>
    </w:p>
    <w:p w14:paraId="2E4278FD" w14:textId="389EADA0" w:rsidR="00087598" w:rsidRDefault="00F05CA4" w:rsidP="00191B2F">
      <w:pPr>
        <w:jc w:val="center"/>
        <w:rPr>
          <w:rFonts w:ascii="Tahoma" w:hAnsi="Tahoma" w:cs="Tahoma"/>
          <w:color w:val="000000"/>
        </w:rPr>
      </w:pPr>
      <w:r w:rsidRPr="00F05CA4">
        <w:rPr>
          <w:rFonts w:ascii="Tahoma" w:hAnsi="Tahoma" w:cs="Tahoma"/>
          <w:noProof/>
          <w:color w:val="000000"/>
        </w:rPr>
        <w:pict w14:anchorId="594849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8" type="#_x0000_t75" style="width:356pt;height:372pt;visibility:visible;mso-wrap-style:square">
            <v:imagedata r:id="rId8" o:title=""/>
          </v:shape>
        </w:pict>
      </w:r>
    </w:p>
    <w:p w14:paraId="47285874" w14:textId="276C9250" w:rsidR="00D07ECA" w:rsidRDefault="00D07ECA">
      <w:pPr>
        <w:jc w:val="center"/>
        <w:rPr>
          <w:rFonts w:ascii="Tahoma" w:hAnsi="Tahoma" w:cs="Tahoma"/>
          <w:color w:val="000000"/>
        </w:rPr>
      </w:pPr>
    </w:p>
    <w:p w14:paraId="71D62C1C" w14:textId="77777777" w:rsidR="00D07ECA" w:rsidRDefault="00D07ECA">
      <w:pPr>
        <w:jc w:val="center"/>
        <w:rPr>
          <w:rFonts w:ascii="Tahoma" w:hAnsi="Tahoma" w:cs="Tahoma"/>
          <w:color w:val="000000"/>
        </w:rPr>
      </w:pPr>
    </w:p>
    <w:p w14:paraId="4067236F" w14:textId="77777777" w:rsidR="00D07ECA" w:rsidRDefault="00D07ECA">
      <w:pPr>
        <w:jc w:val="center"/>
        <w:rPr>
          <w:rFonts w:ascii="Tahoma" w:hAnsi="Tahoma" w:cs="Tahoma"/>
          <w:color w:val="000000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9"/>
        <w:gridCol w:w="475"/>
      </w:tblGrid>
      <w:tr w:rsidR="00D07ECA" w14:paraId="6FCB4766" w14:textId="77777777">
        <w:trPr>
          <w:tblHeader/>
          <w:jc w:val="center"/>
        </w:trPr>
        <w:tc>
          <w:tcPr>
            <w:tcW w:w="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8F5216" w14:textId="77777777" w:rsidR="00D07ECA" w:rsidRDefault="00D07ECA">
            <w:pPr>
              <w:pStyle w:val="TableHeading"/>
              <w:shd w:val="clear" w:color="auto" w:fill="FF0000"/>
              <w:snapToGrid w:val="0"/>
              <w:jc w:val="right"/>
              <w:rPr>
                <w:rFonts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H</w:t>
            </w:r>
          </w:p>
        </w:tc>
        <w:tc>
          <w:tcPr>
            <w:tcW w:w="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CCFC2" w14:textId="77777777" w:rsidR="00D07ECA" w:rsidRDefault="00D07ECA">
            <w:pPr>
              <w:pStyle w:val="TableHeading"/>
              <w:shd w:val="clear" w:color="auto" w:fill="FFFF00"/>
              <w:snapToGrid w:val="0"/>
              <w:jc w:val="right"/>
              <w:rPr>
                <w:rFonts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P</w:t>
            </w:r>
          </w:p>
        </w:tc>
      </w:tr>
      <w:tr w:rsidR="00D07ECA" w14:paraId="126A7051" w14:textId="77777777">
        <w:trPr>
          <w:jc w:val="center"/>
        </w:trPr>
        <w:tc>
          <w:tcPr>
            <w:tcW w:w="409" w:type="dxa"/>
            <w:tcBorders>
              <w:left w:val="single" w:sz="1" w:space="0" w:color="000000"/>
              <w:bottom w:val="single" w:sz="1" w:space="0" w:color="000000"/>
            </w:tcBorders>
          </w:tcPr>
          <w:p w14:paraId="647F130E" w14:textId="77777777" w:rsidR="00D07ECA" w:rsidRDefault="00D07ECA">
            <w:pPr>
              <w:pStyle w:val="TableContents"/>
              <w:shd w:val="clear" w:color="auto" w:fill="0000FF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D</w:t>
            </w:r>
          </w:p>
        </w:tc>
        <w:tc>
          <w:tcPr>
            <w:tcW w:w="4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FBCA" w14:textId="77777777" w:rsidR="00D07ECA" w:rsidRDefault="00D07ECA">
            <w:pPr>
              <w:pStyle w:val="TableContents"/>
              <w:shd w:val="clear" w:color="auto" w:fill="00FF00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A</w:t>
            </w:r>
          </w:p>
        </w:tc>
      </w:tr>
    </w:tbl>
    <w:p w14:paraId="186397B0" w14:textId="77777777" w:rsidR="00087598" w:rsidRDefault="00087598" w:rsidP="00087598">
      <w:pPr>
        <w:rPr>
          <w:rFonts w:cs="Arial"/>
          <w:b/>
          <w:color w:val="000000"/>
        </w:rPr>
      </w:pPr>
    </w:p>
    <w:p w14:paraId="3FBF009F" w14:textId="77777777" w:rsidR="00087598" w:rsidRDefault="00087598" w:rsidP="00087598">
      <w:pPr>
        <w:rPr>
          <w:rFonts w:cs="Arial"/>
          <w:b/>
          <w:color w:val="000000"/>
        </w:rPr>
      </w:pPr>
    </w:p>
    <w:p w14:paraId="78AE8387" w14:textId="0587BFAE" w:rsidR="00F03A42" w:rsidRDefault="00EE411E">
      <w:pPr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January 2025</w:t>
      </w:r>
    </w:p>
    <w:p w14:paraId="4FAE2CFE" w14:textId="0FF33FAC" w:rsidR="00B57D74" w:rsidRDefault="00B57D74">
      <w:pPr>
        <w:jc w:val="center"/>
        <w:rPr>
          <w:rFonts w:ascii="Tahoma" w:hAnsi="Tahoma" w:cs="Tahoma"/>
          <w:b/>
          <w:color w:val="000000"/>
        </w:rPr>
      </w:pPr>
    </w:p>
    <w:p w14:paraId="01DE67E7" w14:textId="77777777" w:rsidR="00B57D74" w:rsidRDefault="00B57D74">
      <w:pPr>
        <w:jc w:val="center"/>
        <w:rPr>
          <w:rFonts w:ascii="Tahoma" w:hAnsi="Tahoma" w:cs="Tahoma"/>
          <w:b/>
          <w:color w:val="000000"/>
        </w:rPr>
      </w:pPr>
    </w:p>
    <w:p w14:paraId="59F8D4F1" w14:textId="2105DD04" w:rsidR="00D07ECA" w:rsidRDefault="00D07ECA">
      <w:pPr>
        <w:jc w:val="center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Prepared by Hartley Planning and Development Associates Ltd</w:t>
      </w:r>
    </w:p>
    <w:p w14:paraId="022E59A4" w14:textId="4D56920C" w:rsidR="00277AF0" w:rsidRPr="00FD4FD8" w:rsidRDefault="00C07119" w:rsidP="008E79A7">
      <w:pPr>
        <w:spacing w:line="360" w:lineRule="auto"/>
        <w:rPr>
          <w:rFonts w:cs="Arial"/>
        </w:rPr>
      </w:pPr>
      <w:r w:rsidRPr="00FD4FD8">
        <w:rPr>
          <w:rFonts w:cs="Arial"/>
        </w:rPr>
        <w:lastRenderedPageBreak/>
        <w:t xml:space="preserve">The application relates to </w:t>
      </w:r>
      <w:r w:rsidR="008E251F" w:rsidRPr="00FD4FD8">
        <w:rPr>
          <w:rFonts w:cs="Arial"/>
        </w:rPr>
        <w:t xml:space="preserve">land </w:t>
      </w:r>
      <w:r w:rsidR="00EE411E">
        <w:rPr>
          <w:rFonts w:cs="Arial"/>
        </w:rPr>
        <w:t>at the above farm</w:t>
      </w:r>
      <w:r w:rsidR="00BB5A99">
        <w:rPr>
          <w:rFonts w:cs="Arial"/>
        </w:rPr>
        <w:t xml:space="preserve"> where the agricultural unit extends to some </w:t>
      </w:r>
      <w:r w:rsidR="00A33268">
        <w:rPr>
          <w:rFonts w:cs="Arial"/>
        </w:rPr>
        <w:t>6.5ha</w:t>
      </w:r>
      <w:r w:rsidR="00EE411E">
        <w:rPr>
          <w:rFonts w:cs="Arial"/>
        </w:rPr>
        <w:t xml:space="preserve">, excluding other </w:t>
      </w:r>
      <w:r w:rsidR="00A33268">
        <w:rPr>
          <w:rFonts w:cs="Arial"/>
        </w:rPr>
        <w:t xml:space="preserve">associated </w:t>
      </w:r>
      <w:r w:rsidR="0091497C">
        <w:rPr>
          <w:rFonts w:cs="Arial"/>
        </w:rPr>
        <w:t>agricultural land in the area</w:t>
      </w:r>
      <w:r w:rsidR="008E79A7">
        <w:rPr>
          <w:rFonts w:cs="Arial"/>
        </w:rPr>
        <w:t xml:space="preserve">. </w:t>
      </w:r>
    </w:p>
    <w:p w14:paraId="69F5F551" w14:textId="44B4AB4C" w:rsidR="00BE520A" w:rsidRDefault="00224D1E" w:rsidP="009460A4">
      <w:pPr>
        <w:spacing w:line="360" w:lineRule="auto"/>
        <w:rPr>
          <w:rFonts w:cs="Arial"/>
        </w:rPr>
      </w:pPr>
      <w:r w:rsidRPr="00FD4FD8">
        <w:rPr>
          <w:rFonts w:cs="Arial"/>
        </w:rPr>
        <w:t xml:space="preserve">The building would </w:t>
      </w:r>
      <w:r w:rsidR="009460A4">
        <w:rPr>
          <w:rFonts w:cs="Arial"/>
        </w:rPr>
        <w:t xml:space="preserve">be used for the </w:t>
      </w:r>
      <w:r w:rsidR="00A33268">
        <w:rPr>
          <w:rFonts w:cs="Arial"/>
        </w:rPr>
        <w:t xml:space="preserve">housing of animals, mainly cows, and for general storage </w:t>
      </w:r>
      <w:r w:rsidR="00925F54">
        <w:rPr>
          <w:rFonts w:cs="Arial"/>
        </w:rPr>
        <w:t>purposes.</w:t>
      </w:r>
      <w:r w:rsidR="009460A4">
        <w:rPr>
          <w:rFonts w:cs="Arial"/>
        </w:rPr>
        <w:t xml:space="preserve"> </w:t>
      </w:r>
      <w:r w:rsidRPr="00FD4FD8">
        <w:rPr>
          <w:rFonts w:cs="Arial"/>
        </w:rPr>
        <w:t xml:space="preserve"> </w:t>
      </w:r>
    </w:p>
    <w:p w14:paraId="6D7C5CA7" w14:textId="77777777" w:rsidR="00A33268" w:rsidRDefault="00A33268" w:rsidP="009460A4">
      <w:pPr>
        <w:spacing w:line="360" w:lineRule="auto"/>
        <w:rPr>
          <w:rFonts w:cs="Arial"/>
        </w:rPr>
      </w:pPr>
    </w:p>
    <w:p w14:paraId="209AA646" w14:textId="04593614" w:rsidR="009460A4" w:rsidRDefault="009460A4" w:rsidP="009460A4">
      <w:pPr>
        <w:spacing w:line="360" w:lineRule="auto"/>
        <w:rPr>
          <w:rFonts w:eastAsia="Calibri" w:cs="Arial"/>
          <w:lang w:eastAsia="en-US"/>
        </w:rPr>
      </w:pPr>
      <w:r>
        <w:rPr>
          <w:rFonts w:cs="Arial"/>
        </w:rPr>
        <w:t>The application site is within the Green Belt</w:t>
      </w:r>
    </w:p>
    <w:p w14:paraId="4E5D0FD1" w14:textId="77777777" w:rsidR="00BE520A" w:rsidRPr="00FD4FD8" w:rsidRDefault="00BE520A" w:rsidP="00F46708">
      <w:pPr>
        <w:spacing w:line="360" w:lineRule="auto"/>
        <w:rPr>
          <w:rFonts w:cs="Arial"/>
          <w:bCs/>
        </w:rPr>
      </w:pPr>
    </w:p>
    <w:p w14:paraId="7F8C6398" w14:textId="75683D42" w:rsidR="00E30632" w:rsidRPr="00FD4FD8" w:rsidRDefault="00E30632" w:rsidP="00F46708">
      <w:pPr>
        <w:spacing w:line="360" w:lineRule="auto"/>
        <w:rPr>
          <w:rFonts w:cs="Arial"/>
          <w:b/>
        </w:rPr>
      </w:pPr>
      <w:r w:rsidRPr="00FD4FD8">
        <w:rPr>
          <w:rFonts w:cs="Arial"/>
          <w:b/>
        </w:rPr>
        <w:t>The main issues</w:t>
      </w:r>
    </w:p>
    <w:p w14:paraId="1C84D45A" w14:textId="635502B1" w:rsidR="00561252" w:rsidRPr="00FD4FD8" w:rsidRDefault="00BE11AE" w:rsidP="009C3DE0">
      <w:pPr>
        <w:pStyle w:val="ListParagraph"/>
        <w:tabs>
          <w:tab w:val="left" w:pos="0"/>
          <w:tab w:val="left" w:pos="284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FD4FD8">
        <w:rPr>
          <w:rFonts w:ascii="Arial" w:hAnsi="Arial" w:cs="Arial"/>
          <w:bCs/>
          <w:sz w:val="24"/>
          <w:szCs w:val="24"/>
        </w:rPr>
        <w:t xml:space="preserve">The main issues </w:t>
      </w:r>
      <w:r w:rsidR="00A65417" w:rsidRPr="00FD4FD8">
        <w:rPr>
          <w:rFonts w:ascii="Arial" w:hAnsi="Arial" w:cs="Arial"/>
          <w:bCs/>
          <w:sz w:val="24"/>
          <w:szCs w:val="24"/>
        </w:rPr>
        <w:t xml:space="preserve">are </w:t>
      </w:r>
      <w:r w:rsidR="000E1CA0" w:rsidRPr="00FD4FD8">
        <w:rPr>
          <w:rFonts w:ascii="Arial" w:hAnsi="Arial" w:cs="Arial"/>
          <w:bCs/>
          <w:sz w:val="24"/>
          <w:szCs w:val="24"/>
        </w:rPr>
        <w:t>(</w:t>
      </w:r>
      <w:proofErr w:type="spellStart"/>
      <w:r w:rsidR="000E1CA0" w:rsidRPr="00FD4FD8">
        <w:rPr>
          <w:rFonts w:ascii="Arial" w:hAnsi="Arial" w:cs="Arial"/>
          <w:bCs/>
          <w:sz w:val="24"/>
          <w:szCs w:val="24"/>
        </w:rPr>
        <w:t>i</w:t>
      </w:r>
      <w:proofErr w:type="spellEnd"/>
      <w:r w:rsidR="000E1CA0" w:rsidRPr="00FD4FD8">
        <w:rPr>
          <w:rFonts w:ascii="Arial" w:hAnsi="Arial" w:cs="Arial"/>
          <w:bCs/>
          <w:sz w:val="24"/>
          <w:szCs w:val="24"/>
        </w:rPr>
        <w:t>)</w:t>
      </w:r>
      <w:r w:rsidR="00182D4A">
        <w:rPr>
          <w:rFonts w:ascii="Arial" w:hAnsi="Arial" w:cs="Arial"/>
          <w:bCs/>
          <w:sz w:val="24"/>
          <w:szCs w:val="24"/>
        </w:rPr>
        <w:t xml:space="preserve"> </w:t>
      </w:r>
      <w:r w:rsidR="00561252" w:rsidRPr="00FD4FD8">
        <w:rPr>
          <w:rFonts w:ascii="Arial" w:hAnsi="Arial" w:cs="Arial"/>
          <w:color w:val="000000"/>
          <w:sz w:val="24"/>
          <w:szCs w:val="24"/>
        </w:rPr>
        <w:t xml:space="preserve">whether the proposal would be inappropriate development in the Green Belt; </w:t>
      </w:r>
      <w:r w:rsidR="00FB5231" w:rsidRPr="00FD4FD8">
        <w:rPr>
          <w:rFonts w:ascii="Arial" w:hAnsi="Arial" w:cs="Arial"/>
          <w:color w:val="000000"/>
          <w:sz w:val="24"/>
          <w:szCs w:val="24"/>
        </w:rPr>
        <w:t xml:space="preserve">(ii) </w:t>
      </w:r>
      <w:r w:rsidR="00561252" w:rsidRPr="00FD4FD8">
        <w:rPr>
          <w:rFonts w:ascii="Arial" w:hAnsi="Arial" w:cs="Arial"/>
          <w:sz w:val="24"/>
          <w:szCs w:val="24"/>
        </w:rPr>
        <w:t>the effect of the development upon the character and appearance of the area and</w:t>
      </w:r>
      <w:r w:rsidR="00182D4A">
        <w:rPr>
          <w:rFonts w:ascii="Arial" w:hAnsi="Arial" w:cs="Arial"/>
          <w:sz w:val="24"/>
          <w:szCs w:val="24"/>
        </w:rPr>
        <w:t xml:space="preserve"> </w:t>
      </w:r>
      <w:r w:rsidR="00FB5231" w:rsidRPr="00FD4FD8">
        <w:rPr>
          <w:rFonts w:ascii="Arial" w:hAnsi="Arial" w:cs="Arial"/>
          <w:sz w:val="24"/>
          <w:szCs w:val="24"/>
        </w:rPr>
        <w:t xml:space="preserve">(iii) </w:t>
      </w:r>
      <w:r w:rsidR="00561252" w:rsidRPr="00FD4FD8">
        <w:rPr>
          <w:rFonts w:ascii="Arial" w:hAnsi="Arial" w:cs="Arial"/>
          <w:sz w:val="24"/>
          <w:szCs w:val="24"/>
        </w:rPr>
        <w:t xml:space="preserve">whether any harm by reason of inappropriateness, and any other harm, is clearly outweighed by other considerations </w:t>
      </w:r>
      <w:proofErr w:type="gramStart"/>
      <w:r w:rsidR="00561252" w:rsidRPr="00FD4FD8">
        <w:rPr>
          <w:rFonts w:ascii="Arial" w:hAnsi="Arial" w:cs="Arial"/>
          <w:sz w:val="24"/>
          <w:szCs w:val="24"/>
        </w:rPr>
        <w:t>so as to</w:t>
      </w:r>
      <w:proofErr w:type="gramEnd"/>
      <w:r w:rsidR="00561252" w:rsidRPr="00FD4FD8">
        <w:rPr>
          <w:rFonts w:ascii="Arial" w:hAnsi="Arial" w:cs="Arial"/>
          <w:sz w:val="24"/>
          <w:szCs w:val="24"/>
        </w:rPr>
        <w:t xml:space="preserve"> amount to very special circumstances required to justify the proposal.</w:t>
      </w:r>
    </w:p>
    <w:p w14:paraId="3B02FCFF" w14:textId="2ED340FC" w:rsidR="00BE11AE" w:rsidRPr="00FD4FD8" w:rsidRDefault="00BE11AE" w:rsidP="009C3DE0">
      <w:pPr>
        <w:tabs>
          <w:tab w:val="left" w:pos="0"/>
        </w:tabs>
        <w:spacing w:line="360" w:lineRule="auto"/>
        <w:rPr>
          <w:rFonts w:cs="Arial"/>
          <w:b/>
        </w:rPr>
      </w:pPr>
    </w:p>
    <w:p w14:paraId="77A6B98F" w14:textId="325E3147" w:rsidR="00E30632" w:rsidRPr="00FD4FD8" w:rsidRDefault="009900FB" w:rsidP="00F46708">
      <w:pPr>
        <w:spacing w:line="360" w:lineRule="auto"/>
        <w:rPr>
          <w:rFonts w:cs="Arial"/>
          <w:bCs/>
          <w:i/>
          <w:iCs/>
        </w:rPr>
      </w:pPr>
      <w:r w:rsidRPr="00FD4FD8">
        <w:rPr>
          <w:rFonts w:cs="Arial"/>
          <w:bCs/>
          <w:i/>
          <w:iCs/>
        </w:rPr>
        <w:t>Whether inappropriate development</w:t>
      </w:r>
    </w:p>
    <w:p w14:paraId="62955126" w14:textId="15570F46" w:rsidR="002E1EE0" w:rsidRPr="00FD4FD8" w:rsidRDefault="002E1EE0" w:rsidP="00F46708">
      <w:pPr>
        <w:spacing w:line="360" w:lineRule="auto"/>
        <w:rPr>
          <w:rFonts w:cs="Arial"/>
          <w:bCs/>
        </w:rPr>
      </w:pPr>
    </w:p>
    <w:p w14:paraId="6A2EB571" w14:textId="3D3D14CA" w:rsidR="0045770C" w:rsidRDefault="004E0DB6" w:rsidP="0045770C">
      <w:pPr>
        <w:pStyle w:val="NoSpacing"/>
        <w:rPr>
          <w:rFonts w:ascii="Arial" w:hAnsi="Arial" w:cs="Arial"/>
          <w:i/>
          <w:iCs/>
        </w:rPr>
      </w:pPr>
      <w:r w:rsidRPr="00FD4FD8">
        <w:rPr>
          <w:rFonts w:ascii="Arial" w:hAnsi="Arial" w:cs="Arial"/>
          <w:bCs/>
        </w:rPr>
        <w:t xml:space="preserve">Policy </w:t>
      </w:r>
      <w:r w:rsidR="00DC6382">
        <w:rPr>
          <w:rFonts w:ascii="Arial" w:hAnsi="Arial" w:cs="Arial"/>
          <w:bCs/>
        </w:rPr>
        <w:t>G</w:t>
      </w:r>
      <w:r w:rsidRPr="00FD4FD8">
        <w:rPr>
          <w:rFonts w:ascii="Arial" w:hAnsi="Arial" w:cs="Arial"/>
          <w:bCs/>
        </w:rPr>
        <w:t xml:space="preserve">4 of the Rochdale Core Strategy 2016 </w:t>
      </w:r>
      <w:r w:rsidR="00EE4A7D" w:rsidRPr="00FD4FD8">
        <w:rPr>
          <w:rFonts w:ascii="Arial" w:hAnsi="Arial" w:cs="Arial"/>
          <w:bCs/>
        </w:rPr>
        <w:t xml:space="preserve">(CS) </w:t>
      </w:r>
      <w:r w:rsidRPr="00FD4FD8">
        <w:rPr>
          <w:rFonts w:ascii="Arial" w:hAnsi="Arial" w:cs="Arial"/>
          <w:bCs/>
        </w:rPr>
        <w:t xml:space="preserve">states that </w:t>
      </w:r>
      <w:r w:rsidR="0045770C" w:rsidRPr="00FD4FD8">
        <w:rPr>
          <w:rFonts w:ascii="Arial" w:hAnsi="Arial" w:cs="Arial"/>
          <w:bCs/>
        </w:rPr>
        <w:t>‘</w:t>
      </w:r>
      <w:r w:rsidR="0045770C" w:rsidRPr="00FD4FD8">
        <w:rPr>
          <w:rFonts w:ascii="Arial" w:hAnsi="Arial" w:cs="Arial"/>
          <w:i/>
          <w:iCs/>
        </w:rPr>
        <w:t>Development will be restricted to those limited types of development which are deemed not to be inappropriate by national planning policies unless very special circumstances can be demonstrated’.</w:t>
      </w:r>
    </w:p>
    <w:p w14:paraId="27022E35" w14:textId="77777777" w:rsidR="00B4724B" w:rsidRDefault="00B4724B" w:rsidP="0045770C">
      <w:pPr>
        <w:pStyle w:val="NoSpacing"/>
        <w:rPr>
          <w:rFonts w:ascii="Arial" w:hAnsi="Arial" w:cs="Arial"/>
          <w:i/>
          <w:iCs/>
        </w:rPr>
      </w:pPr>
    </w:p>
    <w:p w14:paraId="35105285" w14:textId="1273F894" w:rsidR="00B4724B" w:rsidRPr="00FD4FD8" w:rsidRDefault="00B4724B" w:rsidP="0045770C">
      <w:pPr>
        <w:pStyle w:val="NoSpacing"/>
        <w:rPr>
          <w:rFonts w:ascii="Arial" w:hAnsi="Arial" w:cs="Arial"/>
          <w:i/>
          <w:iCs/>
        </w:rPr>
      </w:pPr>
      <w:r w:rsidRPr="002E4755">
        <w:rPr>
          <w:rFonts w:ascii="Arial" w:hAnsi="Arial" w:cs="Arial"/>
        </w:rPr>
        <w:t xml:space="preserve">Policy JP-G9 of the Greater Manchester Places for Everyone 2024 (PfE) has little to say about development </w:t>
      </w:r>
      <w:r w:rsidR="002E4755" w:rsidRPr="002E4755">
        <w:rPr>
          <w:rFonts w:ascii="Arial" w:hAnsi="Arial" w:cs="Arial"/>
        </w:rPr>
        <w:t>in the</w:t>
      </w:r>
      <w:r w:rsidRPr="002E4755">
        <w:rPr>
          <w:rFonts w:ascii="Arial" w:hAnsi="Arial" w:cs="Arial"/>
        </w:rPr>
        <w:t xml:space="preserve"> Green Belt other than referring to the 5 purposes of the Green Belt as </w:t>
      </w:r>
      <w:r w:rsidR="004C42C0" w:rsidRPr="002E4755">
        <w:rPr>
          <w:rFonts w:ascii="Arial" w:hAnsi="Arial" w:cs="Arial"/>
        </w:rPr>
        <w:t>outlined in national policy</w:t>
      </w:r>
      <w:r w:rsidR="00057950">
        <w:rPr>
          <w:rFonts w:ascii="Arial" w:hAnsi="Arial" w:cs="Arial"/>
        </w:rPr>
        <w:t>,</w:t>
      </w:r>
      <w:r w:rsidR="004C42C0" w:rsidRPr="002E4755">
        <w:rPr>
          <w:rFonts w:ascii="Arial" w:hAnsi="Arial" w:cs="Arial"/>
        </w:rPr>
        <w:t xml:space="preserve"> and also </w:t>
      </w:r>
      <w:r w:rsidR="00944EFD" w:rsidRPr="002E4755">
        <w:rPr>
          <w:rFonts w:ascii="Arial" w:hAnsi="Arial" w:cs="Arial"/>
        </w:rPr>
        <w:t>that</w:t>
      </w:r>
      <w:r w:rsidR="00944EFD">
        <w:rPr>
          <w:rFonts w:ascii="Arial" w:hAnsi="Arial" w:cs="Arial"/>
          <w:i/>
          <w:iCs/>
        </w:rPr>
        <w:t xml:space="preserve"> ‘ </w:t>
      </w:r>
      <w:r w:rsidR="000A0B29">
        <w:rPr>
          <w:rFonts w:ascii="Arial" w:hAnsi="Arial" w:cs="Arial"/>
          <w:i/>
          <w:iCs/>
        </w:rPr>
        <w:t>t</w:t>
      </w:r>
      <w:r w:rsidR="000A0B29" w:rsidRPr="000A0B29">
        <w:rPr>
          <w:rFonts w:ascii="Arial" w:hAnsi="Arial" w:cs="Arial"/>
          <w:i/>
          <w:iCs/>
        </w:rPr>
        <w:t>he beneficial use of the Green Belt will be enhanced where this can be achieved without harm to its openness, permanence or ability to serve its five purposes</w:t>
      </w:r>
      <w:r w:rsidR="000A0B29">
        <w:rPr>
          <w:rFonts w:ascii="Arial" w:hAnsi="Arial" w:cs="Arial"/>
          <w:i/>
          <w:iCs/>
        </w:rPr>
        <w:t xml:space="preserve">’. </w:t>
      </w:r>
      <w:r w:rsidR="000A0B29" w:rsidRPr="002E4755">
        <w:rPr>
          <w:rFonts w:ascii="Arial" w:hAnsi="Arial" w:cs="Arial"/>
        </w:rPr>
        <w:t>Th</w:t>
      </w:r>
      <w:r w:rsidR="002E4755" w:rsidRPr="002E4755">
        <w:rPr>
          <w:rFonts w:ascii="Arial" w:hAnsi="Arial" w:cs="Arial"/>
        </w:rPr>
        <w:t>e</w:t>
      </w:r>
      <w:r w:rsidR="000A0B29" w:rsidRPr="002E4755">
        <w:rPr>
          <w:rFonts w:ascii="Arial" w:hAnsi="Arial" w:cs="Arial"/>
        </w:rPr>
        <w:t xml:space="preserve">re is no reference to those </w:t>
      </w:r>
      <w:r w:rsidR="002E4755" w:rsidRPr="002E4755">
        <w:rPr>
          <w:rFonts w:ascii="Arial" w:hAnsi="Arial" w:cs="Arial"/>
        </w:rPr>
        <w:t>exceptions which might be not inappropriate in the Green Belt</w:t>
      </w:r>
      <w:r w:rsidR="00AD16F8">
        <w:rPr>
          <w:rFonts w:ascii="Arial" w:hAnsi="Arial" w:cs="Arial"/>
        </w:rPr>
        <w:t>,</w:t>
      </w:r>
      <w:r w:rsidR="002E4755" w:rsidRPr="002E4755">
        <w:rPr>
          <w:rFonts w:ascii="Arial" w:hAnsi="Arial" w:cs="Arial"/>
        </w:rPr>
        <w:t xml:space="preserve"> and as stated in national policy</w:t>
      </w:r>
      <w:r w:rsidR="002E4755">
        <w:rPr>
          <w:rFonts w:ascii="Arial" w:hAnsi="Arial" w:cs="Arial"/>
          <w:i/>
          <w:iCs/>
        </w:rPr>
        <w:t xml:space="preserve">. </w:t>
      </w:r>
    </w:p>
    <w:p w14:paraId="47F1BC8F" w14:textId="1CF39C06" w:rsidR="002E1EE0" w:rsidRPr="00FD4FD8" w:rsidRDefault="002E1EE0" w:rsidP="00F46708">
      <w:pPr>
        <w:spacing w:line="360" w:lineRule="auto"/>
        <w:rPr>
          <w:rFonts w:cs="Arial"/>
          <w:bCs/>
        </w:rPr>
      </w:pPr>
    </w:p>
    <w:p w14:paraId="541A13E9" w14:textId="76146F9D" w:rsidR="00FF0988" w:rsidRDefault="009C3DE0" w:rsidP="00C47C87">
      <w:pPr>
        <w:pStyle w:val="Default"/>
        <w:spacing w:line="360" w:lineRule="auto"/>
        <w:rPr>
          <w:sz w:val="23"/>
          <w:szCs w:val="23"/>
        </w:rPr>
      </w:pPr>
      <w:r w:rsidRPr="00FD4FD8">
        <w:t>Paragraph 1</w:t>
      </w:r>
      <w:r w:rsidR="002E4BD1">
        <w:t>53</w:t>
      </w:r>
      <w:r w:rsidRPr="00FD4FD8">
        <w:t xml:space="preserve"> of the </w:t>
      </w:r>
      <w:r w:rsidR="00EE4A7D" w:rsidRPr="00FD4FD8">
        <w:t>National Planning Policy Framework 20</w:t>
      </w:r>
      <w:r w:rsidR="00C47C87">
        <w:t>2</w:t>
      </w:r>
      <w:r w:rsidR="00962718">
        <w:t>4</w:t>
      </w:r>
      <w:r w:rsidR="00EE4A7D" w:rsidRPr="00FD4FD8">
        <w:t xml:space="preserve"> (the Framework</w:t>
      </w:r>
      <w:r w:rsidR="00EC36F1" w:rsidRPr="00FD4FD8">
        <w:t>)</w:t>
      </w:r>
      <w:r w:rsidRPr="00FD4FD8">
        <w:t xml:space="preserve"> states that inappropriate development is, by definition, harmful to the Green Belt and should not be approved except in very special circumstances. However, paragraph 1</w:t>
      </w:r>
      <w:r w:rsidR="00962718">
        <w:t>54</w:t>
      </w:r>
      <w:r w:rsidRPr="00FD4FD8">
        <w:t xml:space="preserve"> lists certain categories of development which form an exception to the general policy of restraint. Part (</w:t>
      </w:r>
      <w:r w:rsidR="00FF0988">
        <w:t>a</w:t>
      </w:r>
      <w:r w:rsidRPr="00FD4FD8">
        <w:t xml:space="preserve">) of that paragraph relates </w:t>
      </w:r>
      <w:r w:rsidR="00057950" w:rsidRPr="00FD4FD8">
        <w:t xml:space="preserve">to </w:t>
      </w:r>
      <w:r w:rsidR="00057950">
        <w:t>‘</w:t>
      </w:r>
      <w:r w:rsidR="00FF0988">
        <w:rPr>
          <w:sz w:val="23"/>
          <w:szCs w:val="23"/>
        </w:rPr>
        <w:t xml:space="preserve">buildings for agriculture and forestry’. </w:t>
      </w:r>
    </w:p>
    <w:p w14:paraId="58E179CE" w14:textId="7D132DFB" w:rsidR="00FF3B06" w:rsidRDefault="00FF3B06" w:rsidP="00C47C87">
      <w:pPr>
        <w:pStyle w:val="Style1"/>
        <w:numPr>
          <w:ilvl w:val="0"/>
          <w:numId w:val="0"/>
        </w:numPr>
        <w:tabs>
          <w:tab w:val="num" w:pos="72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exception does not require an assessment of the impact in terms of </w:t>
      </w:r>
      <w:r w:rsidR="00057950">
        <w:rPr>
          <w:rFonts w:ascii="Arial" w:hAnsi="Arial" w:cs="Arial"/>
          <w:sz w:val="24"/>
          <w:szCs w:val="24"/>
        </w:rPr>
        <w:t>openness or</w:t>
      </w:r>
      <w:r>
        <w:rPr>
          <w:rFonts w:ascii="Arial" w:hAnsi="Arial" w:cs="Arial"/>
          <w:sz w:val="24"/>
          <w:szCs w:val="24"/>
        </w:rPr>
        <w:t xml:space="preserve"> </w:t>
      </w:r>
      <w:r w:rsidR="008C7DE9">
        <w:rPr>
          <w:rFonts w:ascii="Arial" w:hAnsi="Arial" w:cs="Arial"/>
          <w:sz w:val="24"/>
          <w:szCs w:val="24"/>
        </w:rPr>
        <w:t xml:space="preserve">upon </w:t>
      </w:r>
      <w:r>
        <w:rPr>
          <w:rFonts w:ascii="Arial" w:hAnsi="Arial" w:cs="Arial"/>
          <w:sz w:val="24"/>
          <w:szCs w:val="24"/>
        </w:rPr>
        <w:t>the purpose of the Green Belt.</w:t>
      </w:r>
    </w:p>
    <w:p w14:paraId="1E5F81B8" w14:textId="2735D54A" w:rsidR="00FF3B06" w:rsidRDefault="00FF3B06" w:rsidP="00BB3A06">
      <w:pPr>
        <w:pStyle w:val="Style1"/>
        <w:numPr>
          <w:ilvl w:val="0"/>
          <w:numId w:val="0"/>
        </w:numPr>
        <w:tabs>
          <w:tab w:val="num" w:pos="72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Therefore</w:t>
      </w:r>
      <w:r w:rsidR="008C7DE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 proposed development would not be inappr</w:t>
      </w:r>
      <w:r w:rsidR="00524490">
        <w:rPr>
          <w:rFonts w:ascii="Arial" w:hAnsi="Arial" w:cs="Arial"/>
          <w:sz w:val="24"/>
          <w:szCs w:val="24"/>
        </w:rPr>
        <w:t xml:space="preserve">opriate in the Green Belt. </w:t>
      </w:r>
    </w:p>
    <w:p w14:paraId="4AB4A7F0" w14:textId="6C643587" w:rsidR="00184AC5" w:rsidRDefault="00F30D9F" w:rsidP="00BB3A06">
      <w:pPr>
        <w:pStyle w:val="Style1"/>
        <w:numPr>
          <w:ilvl w:val="0"/>
          <w:numId w:val="0"/>
        </w:numPr>
        <w:tabs>
          <w:tab w:val="num" w:pos="72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Moreover, and while the proposed </w:t>
      </w:r>
      <w:r w:rsidR="00E2215E">
        <w:rPr>
          <w:rFonts w:ascii="Arial" w:hAnsi="Arial" w:cs="Arial"/>
          <w:sz w:val="24"/>
          <w:szCs w:val="24"/>
        </w:rPr>
        <w:t>building</w:t>
      </w:r>
      <w:r>
        <w:rPr>
          <w:rFonts w:ascii="Arial" w:hAnsi="Arial" w:cs="Arial"/>
          <w:sz w:val="24"/>
          <w:szCs w:val="24"/>
        </w:rPr>
        <w:t xml:space="preserve"> is not excessive, there are numerous appeal decisions where inspectors have concluded that need is not a requirement to be addressed in the Framework. </w:t>
      </w:r>
    </w:p>
    <w:p w14:paraId="0513DF4D" w14:textId="3D295FBA" w:rsidR="009C3DE0" w:rsidRPr="00FD4FD8" w:rsidRDefault="008C7DE9" w:rsidP="009C3DE0">
      <w:pPr>
        <w:pStyle w:val="Style1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</w:t>
      </w:r>
      <w:r w:rsidR="009C3DE0" w:rsidRPr="00FD4FD8">
        <w:rPr>
          <w:rFonts w:ascii="Arial" w:hAnsi="Arial" w:cs="Arial"/>
          <w:i/>
          <w:sz w:val="24"/>
          <w:szCs w:val="24"/>
        </w:rPr>
        <w:t>haracter and appearance</w:t>
      </w:r>
    </w:p>
    <w:p w14:paraId="6372BD45" w14:textId="6EB26788" w:rsidR="00295AF6" w:rsidRDefault="00295AF6" w:rsidP="008C7DE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4"/>
          <w:szCs w:val="24"/>
        </w:rPr>
      </w:pPr>
      <w:r w:rsidRPr="00FD4FD8">
        <w:rPr>
          <w:rFonts w:ascii="Arial" w:hAnsi="Arial" w:cs="Arial"/>
          <w:iCs/>
          <w:sz w:val="24"/>
          <w:szCs w:val="24"/>
        </w:rPr>
        <w:t xml:space="preserve">The proposed development is </w:t>
      </w:r>
      <w:r w:rsidR="00A37EB0">
        <w:rPr>
          <w:rFonts w:ascii="Arial" w:hAnsi="Arial" w:cs="Arial"/>
          <w:iCs/>
          <w:sz w:val="24"/>
          <w:szCs w:val="24"/>
        </w:rPr>
        <w:t xml:space="preserve">relatively </w:t>
      </w:r>
      <w:r w:rsidR="00640E71" w:rsidRPr="00FD4FD8">
        <w:rPr>
          <w:rFonts w:ascii="Arial" w:hAnsi="Arial" w:cs="Arial"/>
          <w:iCs/>
          <w:sz w:val="24"/>
          <w:szCs w:val="24"/>
        </w:rPr>
        <w:t xml:space="preserve">small both in area and height and </w:t>
      </w:r>
      <w:r w:rsidR="00A37EB0">
        <w:rPr>
          <w:rFonts w:ascii="Arial" w:hAnsi="Arial" w:cs="Arial"/>
          <w:iCs/>
          <w:sz w:val="24"/>
          <w:szCs w:val="24"/>
        </w:rPr>
        <w:t xml:space="preserve">would </w:t>
      </w:r>
      <w:proofErr w:type="gramStart"/>
      <w:r w:rsidR="00A37EB0">
        <w:rPr>
          <w:rFonts w:ascii="Arial" w:hAnsi="Arial" w:cs="Arial"/>
          <w:iCs/>
          <w:sz w:val="24"/>
          <w:szCs w:val="24"/>
        </w:rPr>
        <w:t>be located in</w:t>
      </w:r>
      <w:proofErr w:type="gramEnd"/>
      <w:r w:rsidR="00A37EB0">
        <w:rPr>
          <w:rFonts w:ascii="Arial" w:hAnsi="Arial" w:cs="Arial"/>
          <w:iCs/>
          <w:sz w:val="24"/>
          <w:szCs w:val="24"/>
        </w:rPr>
        <w:t xml:space="preserve"> a fold of the hills</w:t>
      </w:r>
      <w:r w:rsidR="00164990">
        <w:rPr>
          <w:rFonts w:ascii="Arial" w:hAnsi="Arial" w:cs="Arial"/>
          <w:iCs/>
          <w:sz w:val="24"/>
          <w:szCs w:val="24"/>
        </w:rPr>
        <w:t xml:space="preserve">, largely inconspicuous from the public domain. </w:t>
      </w:r>
    </w:p>
    <w:p w14:paraId="61726951" w14:textId="77777777" w:rsidR="00164990" w:rsidRDefault="00164990" w:rsidP="008C7DE9">
      <w:pPr>
        <w:pStyle w:val="Default"/>
        <w:spacing w:line="360" w:lineRule="auto"/>
        <w:rPr>
          <w:iCs/>
        </w:rPr>
      </w:pPr>
    </w:p>
    <w:p w14:paraId="7AB949C2" w14:textId="6C31B260" w:rsidR="00F23171" w:rsidRDefault="00FE6299" w:rsidP="007D42AF">
      <w:pPr>
        <w:pStyle w:val="Default"/>
        <w:spacing w:line="360" w:lineRule="auto"/>
        <w:rPr>
          <w:iCs/>
        </w:rPr>
      </w:pPr>
      <w:r>
        <w:rPr>
          <w:iCs/>
        </w:rPr>
        <w:t>The proposed external materials</w:t>
      </w:r>
      <w:r w:rsidR="00164990">
        <w:rPr>
          <w:iCs/>
        </w:rPr>
        <w:t xml:space="preserve">, including Yorkshire </w:t>
      </w:r>
      <w:r w:rsidR="00152B59">
        <w:rPr>
          <w:iCs/>
        </w:rPr>
        <w:t>boarding, are</w:t>
      </w:r>
      <w:r>
        <w:rPr>
          <w:iCs/>
        </w:rPr>
        <w:t xml:space="preserve"> those commonly found in the area for </w:t>
      </w:r>
      <w:r w:rsidR="00152B59">
        <w:rPr>
          <w:iCs/>
        </w:rPr>
        <w:t>agricultural buildings</w:t>
      </w:r>
      <w:r w:rsidR="007D42AF">
        <w:rPr>
          <w:sz w:val="23"/>
          <w:szCs w:val="23"/>
        </w:rPr>
        <w:t xml:space="preserve">. </w:t>
      </w:r>
      <w:r w:rsidR="00152B59">
        <w:rPr>
          <w:sz w:val="23"/>
          <w:szCs w:val="23"/>
        </w:rPr>
        <w:t>It would</w:t>
      </w:r>
      <w:r w:rsidR="007D42AF">
        <w:rPr>
          <w:sz w:val="23"/>
          <w:szCs w:val="23"/>
        </w:rPr>
        <w:t xml:space="preserve"> assimilate with </w:t>
      </w:r>
      <w:r w:rsidR="00F23171" w:rsidRPr="00FD4FD8">
        <w:rPr>
          <w:iCs/>
        </w:rPr>
        <w:t>the rural scene.</w:t>
      </w:r>
    </w:p>
    <w:p w14:paraId="7869A685" w14:textId="6C935829" w:rsidR="007E6407" w:rsidRPr="00FD4FD8" w:rsidRDefault="007E6407" w:rsidP="007D42AF">
      <w:pPr>
        <w:pStyle w:val="Default"/>
        <w:spacing w:line="360" w:lineRule="auto"/>
        <w:rPr>
          <w:iCs/>
        </w:rPr>
      </w:pPr>
      <w:r>
        <w:rPr>
          <w:iCs/>
        </w:rPr>
        <w:t xml:space="preserve">While there are footpaths in the general area, </w:t>
      </w:r>
      <w:r w:rsidR="00371D98">
        <w:rPr>
          <w:iCs/>
        </w:rPr>
        <w:t xml:space="preserve">the proposed building would not be incongruous in this </w:t>
      </w:r>
      <w:r w:rsidR="00540EEC">
        <w:rPr>
          <w:iCs/>
        </w:rPr>
        <w:t xml:space="preserve">rural area, being the sort of </w:t>
      </w:r>
      <w:r w:rsidR="0083346C">
        <w:rPr>
          <w:iCs/>
        </w:rPr>
        <w:t>building</w:t>
      </w:r>
      <w:r w:rsidR="00540EEC">
        <w:rPr>
          <w:iCs/>
        </w:rPr>
        <w:t xml:space="preserve"> </w:t>
      </w:r>
      <w:r w:rsidR="0083346C">
        <w:rPr>
          <w:iCs/>
        </w:rPr>
        <w:t xml:space="preserve">commonly seen in Pennine </w:t>
      </w:r>
      <w:proofErr w:type="gramStart"/>
      <w:r w:rsidR="0083346C">
        <w:rPr>
          <w:iCs/>
        </w:rPr>
        <w:t>locations, and</w:t>
      </w:r>
      <w:proofErr w:type="gramEnd"/>
      <w:r w:rsidR="00540EEC">
        <w:rPr>
          <w:iCs/>
        </w:rPr>
        <w:t xml:space="preserve"> would not adversely affect its character or </w:t>
      </w:r>
      <w:r w:rsidR="00057950">
        <w:rPr>
          <w:iCs/>
        </w:rPr>
        <w:t>appearance.</w:t>
      </w:r>
    </w:p>
    <w:p w14:paraId="36E2EB43" w14:textId="616CFD2F" w:rsidR="009C3DE0" w:rsidRDefault="009C3DE0" w:rsidP="009C3DE0">
      <w:pPr>
        <w:pStyle w:val="Style1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 w:val="24"/>
          <w:szCs w:val="24"/>
        </w:rPr>
      </w:pPr>
      <w:r w:rsidRPr="00FD4FD8">
        <w:rPr>
          <w:rFonts w:ascii="Arial" w:hAnsi="Arial" w:cs="Arial"/>
          <w:bCs/>
          <w:i/>
          <w:iCs/>
          <w:sz w:val="24"/>
          <w:szCs w:val="24"/>
        </w:rPr>
        <w:t>Other considerations</w:t>
      </w:r>
    </w:p>
    <w:p w14:paraId="76FF83DE" w14:textId="7563B8E7" w:rsidR="00E656C9" w:rsidRDefault="00E656C9" w:rsidP="009C3DE0">
      <w:pPr>
        <w:pStyle w:val="Style1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Need</w:t>
      </w:r>
    </w:p>
    <w:p w14:paraId="1BDED880" w14:textId="060D0945" w:rsidR="00E656C9" w:rsidRPr="00D5718E" w:rsidRDefault="00E656C9" w:rsidP="00D5718E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5718E">
        <w:rPr>
          <w:rFonts w:ascii="Arial" w:hAnsi="Arial" w:cs="Arial"/>
          <w:bCs/>
          <w:sz w:val="24"/>
          <w:szCs w:val="24"/>
        </w:rPr>
        <w:t>There are no other</w:t>
      </w:r>
      <w:r w:rsidR="001D7D6F">
        <w:rPr>
          <w:rFonts w:ascii="Arial" w:hAnsi="Arial" w:cs="Arial"/>
          <w:bCs/>
          <w:sz w:val="24"/>
          <w:szCs w:val="24"/>
        </w:rPr>
        <w:t xml:space="preserve"> </w:t>
      </w:r>
      <w:r w:rsidR="00FE2678">
        <w:rPr>
          <w:rFonts w:ascii="Arial" w:hAnsi="Arial" w:cs="Arial"/>
          <w:bCs/>
          <w:sz w:val="24"/>
          <w:szCs w:val="24"/>
        </w:rPr>
        <w:t xml:space="preserve">modern </w:t>
      </w:r>
      <w:r w:rsidR="00FE2678" w:rsidRPr="00D5718E">
        <w:rPr>
          <w:rFonts w:ascii="Arial" w:hAnsi="Arial" w:cs="Arial"/>
          <w:bCs/>
          <w:sz w:val="24"/>
          <w:szCs w:val="24"/>
        </w:rPr>
        <w:t>agricultural</w:t>
      </w:r>
      <w:r w:rsidRPr="00D5718E">
        <w:rPr>
          <w:rFonts w:ascii="Arial" w:hAnsi="Arial" w:cs="Arial"/>
          <w:bCs/>
          <w:sz w:val="24"/>
          <w:szCs w:val="24"/>
        </w:rPr>
        <w:t xml:space="preserve"> buildings on the land</w:t>
      </w:r>
      <w:r w:rsidR="00EE3F06">
        <w:rPr>
          <w:rFonts w:ascii="Arial" w:hAnsi="Arial" w:cs="Arial"/>
          <w:bCs/>
          <w:sz w:val="24"/>
          <w:szCs w:val="24"/>
        </w:rPr>
        <w:t xml:space="preserve">. Existing stone buildings are no longer </w:t>
      </w:r>
      <w:r w:rsidR="001D7D6F">
        <w:rPr>
          <w:rFonts w:ascii="Arial" w:hAnsi="Arial" w:cs="Arial"/>
          <w:bCs/>
          <w:sz w:val="24"/>
          <w:szCs w:val="24"/>
        </w:rPr>
        <w:t>suitable</w:t>
      </w:r>
      <w:r w:rsidR="00EE3F06">
        <w:rPr>
          <w:rFonts w:ascii="Arial" w:hAnsi="Arial" w:cs="Arial"/>
          <w:bCs/>
          <w:sz w:val="24"/>
          <w:szCs w:val="24"/>
        </w:rPr>
        <w:t xml:space="preserve"> for animal welfare reasons for the keeping of livestock. </w:t>
      </w:r>
      <w:r w:rsidRPr="00D5718E">
        <w:rPr>
          <w:rFonts w:ascii="Arial" w:hAnsi="Arial" w:cs="Arial"/>
          <w:bCs/>
          <w:sz w:val="24"/>
          <w:szCs w:val="24"/>
        </w:rPr>
        <w:t xml:space="preserve"> </w:t>
      </w:r>
    </w:p>
    <w:p w14:paraId="5ABDC4C2" w14:textId="4DBE643C" w:rsidR="001D7D6F" w:rsidRDefault="00EA3988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>In any event</w:t>
      </w:r>
      <w:r w:rsidR="005012AD">
        <w:rPr>
          <w:rFonts w:ascii="Arial" w:hAnsi="Arial" w:cs="Arial"/>
          <w:bCs/>
          <w:kern w:val="0"/>
          <w:sz w:val="24"/>
          <w:szCs w:val="24"/>
        </w:rPr>
        <w:t>,</w:t>
      </w:r>
      <w:r>
        <w:rPr>
          <w:rFonts w:ascii="Arial" w:hAnsi="Arial" w:cs="Arial"/>
          <w:bCs/>
          <w:kern w:val="0"/>
          <w:sz w:val="24"/>
          <w:szCs w:val="24"/>
        </w:rPr>
        <w:t xml:space="preserve"> numerous appeal decisions indicate </w:t>
      </w:r>
      <w:r w:rsidR="00F84072">
        <w:rPr>
          <w:rFonts w:ascii="Arial" w:hAnsi="Arial" w:cs="Arial"/>
          <w:bCs/>
          <w:kern w:val="0"/>
          <w:sz w:val="24"/>
          <w:szCs w:val="24"/>
        </w:rPr>
        <w:t xml:space="preserve">that the establishment </w:t>
      </w:r>
      <w:r w:rsidR="0020112A">
        <w:rPr>
          <w:rFonts w:ascii="Arial" w:hAnsi="Arial" w:cs="Arial"/>
          <w:bCs/>
          <w:kern w:val="0"/>
          <w:sz w:val="24"/>
          <w:szCs w:val="24"/>
        </w:rPr>
        <w:t>of ‘</w:t>
      </w:r>
      <w:r>
        <w:rPr>
          <w:rFonts w:ascii="Arial" w:hAnsi="Arial" w:cs="Arial"/>
          <w:bCs/>
          <w:kern w:val="0"/>
          <w:sz w:val="24"/>
          <w:szCs w:val="24"/>
        </w:rPr>
        <w:t xml:space="preserve">need’ </w:t>
      </w:r>
      <w:r w:rsidR="00F84072">
        <w:rPr>
          <w:rFonts w:ascii="Arial" w:hAnsi="Arial" w:cs="Arial"/>
          <w:bCs/>
          <w:kern w:val="0"/>
          <w:sz w:val="24"/>
          <w:szCs w:val="24"/>
        </w:rPr>
        <w:t xml:space="preserve">is not a requirement of the Framework (See submitted, highlighted </w:t>
      </w:r>
      <w:r w:rsidR="00A2132E">
        <w:rPr>
          <w:rFonts w:ascii="Arial" w:hAnsi="Arial" w:cs="Arial"/>
          <w:bCs/>
          <w:kern w:val="0"/>
          <w:sz w:val="24"/>
          <w:szCs w:val="24"/>
        </w:rPr>
        <w:t>appeal decisions</w:t>
      </w:r>
      <w:r w:rsidR="001D7D6F">
        <w:rPr>
          <w:rFonts w:ascii="Arial" w:hAnsi="Arial" w:cs="Arial"/>
          <w:bCs/>
          <w:kern w:val="0"/>
          <w:sz w:val="24"/>
          <w:szCs w:val="24"/>
        </w:rPr>
        <w:t xml:space="preserve">) </w:t>
      </w:r>
    </w:p>
    <w:p w14:paraId="0690C4F2" w14:textId="7D3FD874" w:rsidR="001A769D" w:rsidRPr="001A769D" w:rsidRDefault="00C75A32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Local </w:t>
      </w:r>
      <w:r w:rsidR="001A769D" w:rsidRPr="001A769D">
        <w:rPr>
          <w:rFonts w:ascii="Arial" w:hAnsi="Arial" w:cs="Arial"/>
          <w:bCs/>
          <w:i/>
          <w:iCs/>
          <w:kern w:val="0"/>
          <w:sz w:val="24"/>
          <w:szCs w:val="24"/>
        </w:rPr>
        <w:t>Authority high risk area</w:t>
      </w:r>
    </w:p>
    <w:p w14:paraId="2DB874B9" w14:textId="716A2EE2" w:rsidR="001A769D" w:rsidRDefault="001A769D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The proposed development lies outside the </w:t>
      </w:r>
      <w:proofErr w:type="gramStart"/>
      <w:r>
        <w:rPr>
          <w:rFonts w:ascii="Arial" w:hAnsi="Arial" w:cs="Arial"/>
          <w:bCs/>
          <w:kern w:val="0"/>
          <w:sz w:val="24"/>
          <w:szCs w:val="24"/>
        </w:rPr>
        <w:t>high risk</w:t>
      </w:r>
      <w:proofErr w:type="gramEnd"/>
      <w:r>
        <w:rPr>
          <w:rFonts w:ascii="Arial" w:hAnsi="Arial" w:cs="Arial"/>
          <w:bCs/>
          <w:kern w:val="0"/>
          <w:sz w:val="24"/>
          <w:szCs w:val="24"/>
        </w:rPr>
        <w:t xml:space="preserve"> area</w:t>
      </w:r>
    </w:p>
    <w:p w14:paraId="2F7BE7B5" w14:textId="3DF458B1" w:rsidR="001A769D" w:rsidRDefault="001A769D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5FA3ACBA" w14:textId="77777777" w:rsidR="004E0F19" w:rsidRDefault="004E0F19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5269070C" w14:textId="02855D46" w:rsidR="00A81630" w:rsidRDefault="0000000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lastRenderedPageBreak/>
        <w:pict w14:anchorId="321F1F1B">
          <v:shape id="_x0000_i1025" type="#_x0000_t75" style="width:402.5pt;height:270.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14:paraId="16ABC0AC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45ADD0E3" w14:textId="79739AC8" w:rsidR="004E0F19" w:rsidRDefault="00FE2678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  <w:r>
        <w:rPr>
          <w:rFonts w:ascii="Arial" w:hAnsi="Arial" w:cs="Arial"/>
          <w:bCs/>
          <w:i/>
          <w:iCs/>
          <w:kern w:val="0"/>
          <w:sz w:val="24"/>
          <w:szCs w:val="24"/>
        </w:rPr>
        <w:t>F</w:t>
      </w:r>
      <w:r w:rsidR="004E0F19" w:rsidRPr="004E0F19">
        <w:rPr>
          <w:rFonts w:ascii="Arial" w:hAnsi="Arial" w:cs="Arial"/>
          <w:bCs/>
          <w:i/>
          <w:iCs/>
          <w:kern w:val="0"/>
          <w:sz w:val="24"/>
          <w:szCs w:val="24"/>
        </w:rPr>
        <w:t>lood risk</w:t>
      </w:r>
    </w:p>
    <w:p w14:paraId="03E3F2EE" w14:textId="5B457129" w:rsidR="004E0F19" w:rsidRDefault="004E0F19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The </w:t>
      </w:r>
      <w:r w:rsidR="00A25477">
        <w:rPr>
          <w:rFonts w:ascii="Arial" w:hAnsi="Arial" w:cs="Arial"/>
          <w:bCs/>
          <w:kern w:val="0"/>
          <w:sz w:val="24"/>
          <w:szCs w:val="24"/>
        </w:rPr>
        <w:t>proposed development is in the least risk category (Flood zone 1)</w:t>
      </w:r>
    </w:p>
    <w:p w14:paraId="17D9F390" w14:textId="77777777" w:rsidR="001C6C6F" w:rsidRDefault="001C6C6F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7BC6D787" w14:textId="3165614E" w:rsidR="001C6C6F" w:rsidRDefault="00F05CA4" w:rsidP="00926613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pict w14:anchorId="59918F4C">
          <v:shape id="_x0000_i1026" type="#_x0000_t75" style="width:390.5pt;height:183.5pt">
            <v:imagedata r:id="rId10" o:title="Flood Banner"/>
          </v:shape>
        </w:pict>
      </w:r>
    </w:p>
    <w:p w14:paraId="1C26B0BA" w14:textId="483D0599" w:rsidR="00A25477" w:rsidRDefault="00A25477" w:rsidP="00F05566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kern w:val="0"/>
          <w:sz w:val="24"/>
          <w:szCs w:val="24"/>
        </w:rPr>
      </w:pPr>
    </w:p>
    <w:p w14:paraId="7AC87FB0" w14:textId="4634B96C" w:rsidR="00A25477" w:rsidRPr="004E0F19" w:rsidRDefault="00000000" w:rsidP="00926613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lastRenderedPageBreak/>
        <w:pict w14:anchorId="6FBA4E1B">
          <v:shape id="_x0000_i1027" type="#_x0000_t75" style="width:472.5pt;height:317pt">
            <v:imagedata r:id="rId11" o:title="flood map"/>
          </v:shape>
        </w:pict>
      </w:r>
    </w:p>
    <w:p w14:paraId="0D594934" w14:textId="4B852587" w:rsidR="004E0F19" w:rsidRDefault="0005795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  <w:r>
        <w:rPr>
          <w:rFonts w:ascii="Arial" w:hAnsi="Arial" w:cs="Arial"/>
          <w:bCs/>
          <w:i/>
          <w:iCs/>
          <w:kern w:val="0"/>
          <w:sz w:val="24"/>
          <w:szCs w:val="24"/>
        </w:rPr>
        <w:t>Biodiversity net Gain</w:t>
      </w:r>
    </w:p>
    <w:p w14:paraId="6335EE1F" w14:textId="4549982F" w:rsidR="00057950" w:rsidRPr="00057950" w:rsidRDefault="00057950" w:rsidP="00057950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>T</w:t>
      </w:r>
      <w:r w:rsidRPr="00057950">
        <w:rPr>
          <w:rFonts w:ascii="Arial" w:hAnsi="Arial" w:cs="Arial"/>
          <w:bCs/>
          <w:kern w:val="0"/>
          <w:sz w:val="24"/>
          <w:szCs w:val="24"/>
        </w:rPr>
        <w:t>here is no vegeta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 on the site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  <w:r w:rsidR="00464D4A">
        <w:rPr>
          <w:rFonts w:ascii="Arial" w:hAnsi="Arial" w:cs="Arial"/>
          <w:bCs/>
          <w:kern w:val="0"/>
          <w:sz w:val="24"/>
          <w:szCs w:val="24"/>
        </w:rPr>
        <w:t xml:space="preserve">and </w:t>
      </w:r>
      <w:r w:rsidR="00464D4A" w:rsidRPr="00057950">
        <w:rPr>
          <w:rFonts w:ascii="Arial" w:hAnsi="Arial" w:cs="Arial"/>
          <w:bCs/>
          <w:kern w:val="0"/>
          <w:sz w:val="24"/>
          <w:szCs w:val="24"/>
        </w:rPr>
        <w:t>the</w:t>
      </w:r>
      <w:r w:rsidRPr="00057950">
        <w:rPr>
          <w:rFonts w:ascii="Arial" w:hAnsi="Arial" w:cs="Arial"/>
          <w:bCs/>
          <w:kern w:val="0"/>
          <w:sz w:val="24"/>
          <w:szCs w:val="24"/>
        </w:rPr>
        <w:t xml:space="preserve"> proposal will not impact any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  <w:r w:rsidRPr="00057950">
        <w:rPr>
          <w:rFonts w:ascii="Arial" w:hAnsi="Arial" w:cs="Arial"/>
          <w:bCs/>
          <w:kern w:val="0"/>
          <w:sz w:val="24"/>
          <w:szCs w:val="24"/>
        </w:rPr>
        <w:t>habitats (including priority habitats), hedgerows or watercourses.</w:t>
      </w:r>
    </w:p>
    <w:p w14:paraId="1125CADD" w14:textId="5C1272CA" w:rsidR="00057950" w:rsidRDefault="00057950" w:rsidP="00057950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>There</w:t>
      </w:r>
      <w:r w:rsidRPr="00057950">
        <w:rPr>
          <w:rFonts w:ascii="Arial" w:hAnsi="Arial" w:cs="Arial"/>
          <w:bCs/>
          <w:kern w:val="0"/>
          <w:sz w:val="24"/>
          <w:szCs w:val="24"/>
        </w:rPr>
        <w:t>fore, in accordance with Regula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 4 (De minimis exemp</w:t>
      </w:r>
      <w:r>
        <w:rPr>
          <w:rFonts w:ascii="Arial" w:hAnsi="Arial" w:cs="Arial"/>
          <w:bCs/>
          <w:kern w:val="0"/>
          <w:sz w:val="24"/>
          <w:szCs w:val="24"/>
        </w:rPr>
        <w:t>tio</w:t>
      </w:r>
      <w:r w:rsidRPr="00057950">
        <w:rPr>
          <w:rFonts w:ascii="Arial" w:hAnsi="Arial" w:cs="Arial"/>
          <w:bCs/>
          <w:kern w:val="0"/>
          <w:sz w:val="24"/>
          <w:szCs w:val="24"/>
        </w:rPr>
        <w:t>n) of The Biodiversity Gain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  <w:r w:rsidRPr="00057950">
        <w:rPr>
          <w:rFonts w:ascii="Arial" w:hAnsi="Arial" w:cs="Arial"/>
          <w:bCs/>
          <w:kern w:val="0"/>
          <w:sz w:val="24"/>
          <w:szCs w:val="24"/>
        </w:rPr>
        <w:t>Requirements (Exemp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ons) Regula</w:t>
      </w:r>
      <w:r>
        <w:rPr>
          <w:rFonts w:ascii="Arial" w:hAnsi="Arial" w:cs="Arial"/>
          <w:bCs/>
          <w:kern w:val="0"/>
          <w:sz w:val="24"/>
          <w:szCs w:val="24"/>
        </w:rPr>
        <w:t>ti</w:t>
      </w:r>
      <w:r w:rsidRPr="00057950">
        <w:rPr>
          <w:rFonts w:ascii="Arial" w:hAnsi="Arial" w:cs="Arial"/>
          <w:bCs/>
          <w:kern w:val="0"/>
          <w:sz w:val="24"/>
          <w:szCs w:val="24"/>
        </w:rPr>
        <w:t>ons 2024, the proposal is exempt from biodiversity net gain</w:t>
      </w:r>
      <w:r>
        <w:rPr>
          <w:rFonts w:ascii="Arial" w:hAnsi="Arial" w:cs="Arial"/>
          <w:bCs/>
          <w:kern w:val="0"/>
          <w:sz w:val="24"/>
          <w:szCs w:val="24"/>
        </w:rPr>
        <w:t xml:space="preserve"> regulations requiring at least a 10% improvement</w:t>
      </w:r>
      <w:r w:rsidRPr="00057950">
        <w:rPr>
          <w:rFonts w:ascii="Arial" w:hAnsi="Arial" w:cs="Arial"/>
          <w:bCs/>
          <w:kern w:val="0"/>
          <w:sz w:val="24"/>
          <w:szCs w:val="24"/>
        </w:rPr>
        <w:t>.</w:t>
      </w:r>
      <w:r>
        <w:rPr>
          <w:rFonts w:ascii="Arial" w:hAnsi="Arial" w:cs="Arial"/>
          <w:bCs/>
          <w:kern w:val="0"/>
          <w:sz w:val="24"/>
          <w:szCs w:val="24"/>
        </w:rPr>
        <w:t xml:space="preserve"> </w:t>
      </w:r>
    </w:p>
    <w:p w14:paraId="660DF41E" w14:textId="52F04E61" w:rsidR="00057950" w:rsidRDefault="00057950" w:rsidP="00057950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Nevertheless, bird boxes are </w:t>
      </w:r>
      <w:r w:rsidR="00664EF3">
        <w:rPr>
          <w:rFonts w:ascii="Arial" w:hAnsi="Arial" w:cs="Arial"/>
          <w:bCs/>
          <w:kern w:val="0"/>
          <w:sz w:val="24"/>
          <w:szCs w:val="24"/>
        </w:rPr>
        <w:t>proposed, to</w:t>
      </w:r>
      <w:r>
        <w:rPr>
          <w:rFonts w:ascii="Arial" w:hAnsi="Arial" w:cs="Arial"/>
          <w:bCs/>
          <w:kern w:val="0"/>
          <w:sz w:val="24"/>
          <w:szCs w:val="24"/>
        </w:rPr>
        <w:t xml:space="preserve"> be fixed to the </w:t>
      </w:r>
      <w:r w:rsidR="00464D4A">
        <w:rPr>
          <w:rFonts w:ascii="Arial" w:hAnsi="Arial" w:cs="Arial"/>
          <w:bCs/>
          <w:kern w:val="0"/>
          <w:sz w:val="24"/>
          <w:szCs w:val="24"/>
        </w:rPr>
        <w:t>building. (</w:t>
      </w:r>
      <w:r>
        <w:rPr>
          <w:rFonts w:ascii="Arial" w:hAnsi="Arial" w:cs="Arial"/>
          <w:bCs/>
          <w:kern w:val="0"/>
          <w:sz w:val="24"/>
          <w:szCs w:val="24"/>
        </w:rPr>
        <w:t>See separate report)</w:t>
      </w:r>
    </w:p>
    <w:p w14:paraId="0072E015" w14:textId="50CC1852" w:rsidR="00ED7F4F" w:rsidRDefault="00ED7F4F" w:rsidP="00057950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  <w:r w:rsidRPr="00ED7F4F">
        <w:rPr>
          <w:rFonts w:ascii="Arial" w:hAnsi="Arial" w:cs="Arial"/>
          <w:bCs/>
          <w:i/>
          <w:iCs/>
          <w:kern w:val="0"/>
          <w:sz w:val="24"/>
          <w:szCs w:val="24"/>
        </w:rPr>
        <w:t>Manure</w:t>
      </w:r>
    </w:p>
    <w:p w14:paraId="36D6A57C" w14:textId="3416E2FE" w:rsidR="00ED7F4F" w:rsidRPr="00ED7F4F" w:rsidRDefault="00ED7F4F" w:rsidP="00057950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Manure would be stored in a midden immediately adjoining the building. It </w:t>
      </w:r>
      <w:proofErr w:type="gramStart"/>
      <w:r>
        <w:rPr>
          <w:rFonts w:ascii="Arial" w:hAnsi="Arial" w:cs="Arial"/>
          <w:bCs/>
          <w:kern w:val="0"/>
          <w:sz w:val="24"/>
          <w:szCs w:val="24"/>
        </w:rPr>
        <w:t>would  have</w:t>
      </w:r>
      <w:proofErr w:type="gramEnd"/>
      <w:r>
        <w:rPr>
          <w:rFonts w:ascii="Arial" w:hAnsi="Arial" w:cs="Arial"/>
          <w:bCs/>
          <w:kern w:val="0"/>
          <w:sz w:val="24"/>
          <w:szCs w:val="24"/>
        </w:rPr>
        <w:t xml:space="preserve"> a concrete base and  blockwork sides to prevent spillage and would be stored ready for spreading on the adjoining farmland</w:t>
      </w:r>
    </w:p>
    <w:p w14:paraId="3EC23AED" w14:textId="5468BCBE" w:rsidR="005A7D89" w:rsidRPr="00FD4FD8" w:rsidRDefault="00926613" w:rsidP="003F71E3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="003F71E3" w:rsidRPr="00FD4FD8">
        <w:rPr>
          <w:rFonts w:ascii="Arial" w:hAnsi="Arial" w:cs="Arial"/>
          <w:b/>
          <w:sz w:val="24"/>
          <w:szCs w:val="24"/>
        </w:rPr>
        <w:t>ummary</w:t>
      </w:r>
    </w:p>
    <w:p w14:paraId="3953CB8E" w14:textId="2229A752" w:rsidR="003F71E3" w:rsidRPr="00FD4FD8" w:rsidRDefault="00A84668" w:rsidP="00F05CA4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FD4FD8">
        <w:rPr>
          <w:rFonts w:ascii="Arial" w:hAnsi="Arial" w:cs="Arial"/>
          <w:bCs/>
          <w:sz w:val="24"/>
          <w:szCs w:val="24"/>
        </w:rPr>
        <w:t xml:space="preserve">Policy </w:t>
      </w:r>
      <w:r w:rsidR="00266A3B">
        <w:rPr>
          <w:rFonts w:ascii="Arial" w:hAnsi="Arial" w:cs="Arial"/>
          <w:bCs/>
          <w:sz w:val="24"/>
          <w:szCs w:val="24"/>
        </w:rPr>
        <w:t>G</w:t>
      </w:r>
      <w:r w:rsidRPr="00FD4FD8">
        <w:rPr>
          <w:rFonts w:ascii="Arial" w:hAnsi="Arial" w:cs="Arial"/>
          <w:bCs/>
          <w:sz w:val="24"/>
          <w:szCs w:val="24"/>
        </w:rPr>
        <w:t xml:space="preserve">4 of the Core Strategy </w:t>
      </w:r>
      <w:r w:rsidR="000317E9" w:rsidRPr="00FD4FD8">
        <w:rPr>
          <w:rFonts w:ascii="Arial" w:hAnsi="Arial" w:cs="Arial"/>
          <w:bCs/>
          <w:sz w:val="24"/>
          <w:szCs w:val="24"/>
        </w:rPr>
        <w:t>states that pr</w:t>
      </w:r>
      <w:r w:rsidR="00573F96" w:rsidRPr="00FD4FD8">
        <w:rPr>
          <w:rFonts w:ascii="Arial" w:hAnsi="Arial" w:cs="Arial"/>
          <w:bCs/>
          <w:sz w:val="24"/>
          <w:szCs w:val="24"/>
        </w:rPr>
        <w:t>oposals for development in the Green Belt will be judged against the contents of the Framework</w:t>
      </w:r>
      <w:r w:rsidR="00E609DA">
        <w:rPr>
          <w:rFonts w:ascii="Arial" w:hAnsi="Arial" w:cs="Arial"/>
          <w:bCs/>
          <w:sz w:val="24"/>
          <w:szCs w:val="24"/>
        </w:rPr>
        <w:t>.</w:t>
      </w:r>
    </w:p>
    <w:p w14:paraId="65959457" w14:textId="6054EE65" w:rsidR="00573F96" w:rsidRPr="00FD4FD8" w:rsidRDefault="00573F96" w:rsidP="00F05CA4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FD4FD8">
        <w:rPr>
          <w:rFonts w:ascii="Arial" w:hAnsi="Arial" w:cs="Arial"/>
          <w:bCs/>
          <w:sz w:val="24"/>
          <w:szCs w:val="24"/>
        </w:rPr>
        <w:lastRenderedPageBreak/>
        <w:t xml:space="preserve">The Framework </w:t>
      </w:r>
      <w:r w:rsidR="0052161D" w:rsidRPr="00FD4FD8">
        <w:rPr>
          <w:rFonts w:ascii="Arial" w:hAnsi="Arial" w:cs="Arial"/>
          <w:bCs/>
          <w:sz w:val="24"/>
          <w:szCs w:val="24"/>
        </w:rPr>
        <w:t xml:space="preserve">considers that </w:t>
      </w:r>
      <w:r w:rsidR="00B12F26" w:rsidRPr="00825AC9">
        <w:rPr>
          <w:rFonts w:ascii="Arial" w:hAnsi="Arial" w:cs="Arial"/>
          <w:sz w:val="24"/>
          <w:szCs w:val="24"/>
        </w:rPr>
        <w:t xml:space="preserve">the </w:t>
      </w:r>
      <w:r w:rsidR="00E609DA">
        <w:rPr>
          <w:rFonts w:ascii="Arial" w:hAnsi="Arial" w:cs="Arial"/>
          <w:sz w:val="24"/>
          <w:szCs w:val="24"/>
        </w:rPr>
        <w:t xml:space="preserve">construction </w:t>
      </w:r>
      <w:r w:rsidR="00B12F26" w:rsidRPr="00825AC9">
        <w:rPr>
          <w:rFonts w:ascii="Arial" w:hAnsi="Arial" w:cs="Arial"/>
          <w:sz w:val="24"/>
          <w:szCs w:val="24"/>
        </w:rPr>
        <w:t xml:space="preserve">of </w:t>
      </w:r>
      <w:r w:rsidR="00266A3B">
        <w:rPr>
          <w:rFonts w:ascii="Arial" w:hAnsi="Arial" w:cs="Arial"/>
          <w:sz w:val="24"/>
          <w:szCs w:val="24"/>
        </w:rPr>
        <w:t>agricultural building</w:t>
      </w:r>
      <w:r w:rsidR="00597B4F">
        <w:rPr>
          <w:rFonts w:ascii="Arial" w:hAnsi="Arial" w:cs="Arial"/>
          <w:sz w:val="24"/>
          <w:szCs w:val="24"/>
        </w:rPr>
        <w:t xml:space="preserve">s </w:t>
      </w:r>
      <w:proofErr w:type="gramStart"/>
      <w:r w:rsidR="00597B4F">
        <w:rPr>
          <w:rFonts w:ascii="Arial" w:hAnsi="Arial" w:cs="Arial"/>
          <w:sz w:val="24"/>
          <w:szCs w:val="24"/>
        </w:rPr>
        <w:t>are</w:t>
      </w:r>
      <w:proofErr w:type="gramEnd"/>
      <w:r w:rsidR="00597B4F">
        <w:rPr>
          <w:rFonts w:ascii="Arial" w:hAnsi="Arial" w:cs="Arial"/>
          <w:sz w:val="24"/>
          <w:szCs w:val="24"/>
        </w:rPr>
        <w:t xml:space="preserve"> </w:t>
      </w:r>
      <w:r w:rsidR="00B12F26" w:rsidRPr="00FD4FD8">
        <w:rPr>
          <w:rFonts w:ascii="Arial" w:hAnsi="Arial" w:cs="Arial"/>
          <w:sz w:val="24"/>
          <w:szCs w:val="24"/>
        </w:rPr>
        <w:t xml:space="preserve">not </w:t>
      </w:r>
      <w:r w:rsidR="00175656" w:rsidRPr="00FD4FD8">
        <w:rPr>
          <w:rFonts w:ascii="Arial" w:hAnsi="Arial" w:cs="Arial"/>
          <w:sz w:val="24"/>
          <w:szCs w:val="24"/>
        </w:rPr>
        <w:t>inappropriate</w:t>
      </w:r>
      <w:r w:rsidR="00597B4F">
        <w:rPr>
          <w:rFonts w:ascii="Arial" w:hAnsi="Arial" w:cs="Arial"/>
          <w:sz w:val="24"/>
          <w:szCs w:val="24"/>
        </w:rPr>
        <w:t xml:space="preserve"> in the Green Belt. </w:t>
      </w:r>
    </w:p>
    <w:p w14:paraId="248E4DD1" w14:textId="4327B987" w:rsidR="00FD4989" w:rsidRPr="008A39EA" w:rsidRDefault="00FD4989" w:rsidP="00F05CA4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FD4FD8">
        <w:rPr>
          <w:rFonts w:ascii="Arial" w:hAnsi="Arial" w:cs="Arial"/>
          <w:sz w:val="24"/>
          <w:szCs w:val="24"/>
        </w:rPr>
        <w:t>The</w:t>
      </w:r>
      <w:r w:rsidR="00175656" w:rsidRPr="00FD4FD8">
        <w:rPr>
          <w:rFonts w:ascii="Arial" w:hAnsi="Arial" w:cs="Arial"/>
          <w:sz w:val="24"/>
          <w:szCs w:val="24"/>
        </w:rPr>
        <w:t>re would</w:t>
      </w:r>
      <w:r w:rsidR="00562500" w:rsidRPr="00FD4FD8">
        <w:rPr>
          <w:rFonts w:ascii="Arial" w:hAnsi="Arial" w:cs="Arial"/>
          <w:sz w:val="24"/>
          <w:szCs w:val="24"/>
        </w:rPr>
        <w:t xml:space="preserve"> be no adverse or significant impact on the character and appearance</w:t>
      </w:r>
      <w:r w:rsidR="00EB08C9" w:rsidRPr="00FD4FD8">
        <w:rPr>
          <w:rFonts w:ascii="Arial" w:hAnsi="Arial" w:cs="Arial"/>
          <w:sz w:val="24"/>
          <w:szCs w:val="24"/>
        </w:rPr>
        <w:t xml:space="preserve"> </w:t>
      </w:r>
      <w:r w:rsidR="00562500" w:rsidRPr="00FD4FD8">
        <w:rPr>
          <w:rFonts w:ascii="Arial" w:hAnsi="Arial" w:cs="Arial"/>
          <w:sz w:val="24"/>
          <w:szCs w:val="24"/>
        </w:rPr>
        <w:t>of the area.</w:t>
      </w:r>
    </w:p>
    <w:p w14:paraId="6B147CCC" w14:textId="7EF14ED1" w:rsidR="008A39EA" w:rsidRPr="00FD4FD8" w:rsidRDefault="008A39EA" w:rsidP="00F05CA4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Consequent to the above there is no need to show very special circumstances in this case</w:t>
      </w:r>
      <w:r w:rsidR="001653A1">
        <w:rPr>
          <w:rFonts w:ascii="Arial" w:hAnsi="Arial" w:cs="Arial"/>
          <w:bCs/>
          <w:sz w:val="24"/>
          <w:szCs w:val="24"/>
        </w:rPr>
        <w:t>.</w:t>
      </w:r>
    </w:p>
    <w:sectPr w:rsidR="008A39EA" w:rsidRPr="00FD4FD8">
      <w:footerReference w:type="default" r:id="rId12"/>
      <w:footnotePr>
        <w:pos w:val="beneathText"/>
      </w:footnotePr>
      <w:pgSz w:w="11905" w:h="16837"/>
      <w:pgMar w:top="1134" w:right="1134" w:bottom="1693" w:left="1134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EBED" w14:textId="77777777" w:rsidR="00906539" w:rsidRDefault="00906539">
      <w:r>
        <w:separator/>
      </w:r>
    </w:p>
  </w:endnote>
  <w:endnote w:type="continuationSeparator" w:id="0">
    <w:p w14:paraId="6068CE64" w14:textId="77777777" w:rsidR="00906539" w:rsidRDefault="0090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767F" w14:textId="0580E3E2" w:rsidR="00287E01" w:rsidRDefault="00287E0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6015">
      <w:rPr>
        <w:noProof/>
      </w:rPr>
      <w:t>3</w:t>
    </w:r>
    <w:r>
      <w:rPr>
        <w:noProof/>
      </w:rPr>
      <w:fldChar w:fldCharType="end"/>
    </w:r>
  </w:p>
  <w:p w14:paraId="47419C16" w14:textId="77777777" w:rsidR="00D07ECA" w:rsidRDefault="00D07ECA">
    <w:pPr>
      <w:pStyle w:val="Footer"/>
      <w:ind w:left="141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777DF" w14:textId="77777777" w:rsidR="00906539" w:rsidRDefault="00906539">
      <w:r>
        <w:separator/>
      </w:r>
    </w:p>
  </w:footnote>
  <w:footnote w:type="continuationSeparator" w:id="0">
    <w:p w14:paraId="47E430D3" w14:textId="77777777" w:rsidR="00906539" w:rsidRDefault="0090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1.%2"/>
      <w:lvlJc w:val="left"/>
      <w:pPr>
        <w:tabs>
          <w:tab w:val="num" w:pos="435"/>
        </w:tabs>
        <w:ind w:left="435" w:hanging="360"/>
      </w:pPr>
    </w:lvl>
    <w:lvl w:ilvl="2">
      <w:start w:val="1"/>
      <w:numFmt w:val="decimal"/>
      <w:lvlText w:val="%1.%2.%3."/>
      <w:lvlJc w:val="left"/>
      <w:pPr>
        <w:tabs>
          <w:tab w:val="num" w:pos="510"/>
        </w:tabs>
        <w:ind w:left="510" w:hanging="360"/>
      </w:pPr>
    </w:lvl>
    <w:lvl w:ilvl="3">
      <w:start w:val="1"/>
      <w:numFmt w:val="decimal"/>
      <w:lvlText w:val="%1.%2.%3.%4."/>
      <w:lvlJc w:val="left"/>
      <w:pPr>
        <w:tabs>
          <w:tab w:val="num" w:pos="585"/>
        </w:tabs>
        <w:ind w:left="585" w:hanging="360"/>
      </w:pPr>
    </w:lvl>
    <w:lvl w:ilvl="4">
      <w:start w:val="1"/>
      <w:numFmt w:val="decimal"/>
      <w:lvlText w:val="%1.%2.%3.%4.%5."/>
      <w:lvlJc w:val="left"/>
      <w:pPr>
        <w:tabs>
          <w:tab w:val="num" w:pos="660"/>
        </w:tabs>
        <w:ind w:left="660" w:hanging="360"/>
      </w:pPr>
    </w:lvl>
    <w:lvl w:ilvl="5">
      <w:start w:val="1"/>
      <w:numFmt w:val="decimal"/>
      <w:lvlText w:val="%1.%2.%3.%4.%5.%6."/>
      <w:lvlJc w:val="left"/>
      <w:pPr>
        <w:tabs>
          <w:tab w:val="num" w:pos="735"/>
        </w:tabs>
        <w:ind w:left="7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810"/>
        </w:tabs>
        <w:ind w:left="81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85"/>
        </w:tabs>
        <w:ind w:left="88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960"/>
        </w:tabs>
        <w:ind w:left="9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tarSymbol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tarSymbol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tarSymbol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tarSymbol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tarSymbol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tarSymbol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  <w:lvl w:ilvl="1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3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960"/>
        </w:tabs>
        <w:ind w:left="3960" w:hanging="360"/>
      </w:pPr>
      <w:rPr>
        <w:rFonts w:ascii="StarSymbol" w:hAnsi="Star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1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Courier New"/>
      </w:rPr>
    </w:lvl>
    <w:lvl w:ilvl="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3960"/>
        </w:tabs>
        <w:ind w:left="3960" w:hanging="360"/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4680"/>
        </w:tabs>
        <w:ind w:left="468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StarSymbol" w:hAnsi="StarSymbol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1.%2"/>
      <w:lvlJc w:val="left"/>
      <w:pPr>
        <w:tabs>
          <w:tab w:val="num" w:pos="435"/>
        </w:tabs>
        <w:ind w:left="435" w:hanging="360"/>
      </w:pPr>
    </w:lvl>
    <w:lvl w:ilvl="2">
      <w:start w:val="1"/>
      <w:numFmt w:val="decimal"/>
      <w:lvlText w:val="%1.%2.%3."/>
      <w:lvlJc w:val="left"/>
      <w:pPr>
        <w:tabs>
          <w:tab w:val="num" w:pos="510"/>
        </w:tabs>
        <w:ind w:left="510" w:hanging="360"/>
      </w:pPr>
    </w:lvl>
    <w:lvl w:ilvl="3">
      <w:start w:val="1"/>
      <w:numFmt w:val="decimal"/>
      <w:lvlText w:val="%1.%2.%3.%4."/>
      <w:lvlJc w:val="left"/>
      <w:pPr>
        <w:tabs>
          <w:tab w:val="num" w:pos="585"/>
        </w:tabs>
        <w:ind w:left="585" w:hanging="360"/>
      </w:pPr>
    </w:lvl>
    <w:lvl w:ilvl="4">
      <w:start w:val="1"/>
      <w:numFmt w:val="decimal"/>
      <w:lvlText w:val="%1.%2.%3.%4.%5."/>
      <w:lvlJc w:val="left"/>
      <w:pPr>
        <w:tabs>
          <w:tab w:val="num" w:pos="660"/>
        </w:tabs>
        <w:ind w:left="660" w:hanging="360"/>
      </w:pPr>
    </w:lvl>
    <w:lvl w:ilvl="5">
      <w:start w:val="1"/>
      <w:numFmt w:val="decimal"/>
      <w:lvlText w:val="%1.%2.%3.%4.%5.%6."/>
      <w:lvlJc w:val="left"/>
      <w:pPr>
        <w:tabs>
          <w:tab w:val="num" w:pos="735"/>
        </w:tabs>
        <w:ind w:left="7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810"/>
        </w:tabs>
        <w:ind w:left="81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85"/>
        </w:tabs>
        <w:ind w:left="88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960"/>
        </w:tabs>
        <w:ind w:left="96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424"/>
        </w:tabs>
        <w:ind w:left="424" w:hanging="360"/>
      </w:pPr>
    </w:lvl>
    <w:lvl w:ilvl="2">
      <w:start w:val="1"/>
      <w:numFmt w:val="decimal"/>
      <w:lvlText w:val="%1.%2.%3."/>
      <w:lvlJc w:val="left"/>
      <w:pPr>
        <w:tabs>
          <w:tab w:val="num" w:pos="488"/>
        </w:tabs>
        <w:ind w:left="488" w:hanging="360"/>
      </w:pPr>
    </w:lvl>
    <w:lvl w:ilvl="3">
      <w:start w:val="1"/>
      <w:numFmt w:val="decimal"/>
      <w:lvlText w:val="%1.%2.%3.%4."/>
      <w:lvlJc w:val="left"/>
      <w:pPr>
        <w:tabs>
          <w:tab w:val="num" w:pos="552"/>
        </w:tabs>
        <w:ind w:left="552" w:hanging="360"/>
      </w:pPr>
    </w:lvl>
    <w:lvl w:ilvl="4">
      <w:start w:val="1"/>
      <w:numFmt w:val="decimal"/>
      <w:lvlText w:val="%1.%2.%3.%4.%5."/>
      <w:lvlJc w:val="left"/>
      <w:pPr>
        <w:tabs>
          <w:tab w:val="num" w:pos="616"/>
        </w:tabs>
        <w:ind w:left="616" w:hanging="360"/>
      </w:p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68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44"/>
        </w:tabs>
        <w:ind w:left="74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08"/>
        </w:tabs>
        <w:ind w:left="808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72"/>
        </w:tabs>
        <w:ind w:left="872" w:hanging="360"/>
      </w:pPr>
    </w:lvl>
  </w:abstractNum>
  <w:abstractNum w:abstractNumId="16" w15:restartNumberingAfterBreak="0">
    <w:nsid w:val="00000011"/>
    <w:multiLevelType w:val="multi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7" w15:restartNumberingAfterBreak="0">
    <w:nsid w:val="00000012"/>
    <w:multiLevelType w:val="multilevel"/>
    <w:tmpl w:val="00000012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0EF33F71"/>
    <w:multiLevelType w:val="hybridMultilevel"/>
    <w:tmpl w:val="85023D5E"/>
    <w:lvl w:ilvl="0" w:tplc="CA12C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E1411B"/>
    <w:multiLevelType w:val="multilevel"/>
    <w:tmpl w:val="E196BA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F82DC6"/>
    <w:multiLevelType w:val="hybridMultilevel"/>
    <w:tmpl w:val="6A2C98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2F5DEC"/>
    <w:multiLevelType w:val="hybridMultilevel"/>
    <w:tmpl w:val="FD16E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13214"/>
    <w:multiLevelType w:val="multilevel"/>
    <w:tmpl w:val="C52EF7DC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498"/>
        </w:tabs>
        <w:ind w:left="2498" w:hanging="108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4276"/>
        </w:tabs>
        <w:ind w:left="4276" w:hanging="144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345"/>
        </w:tabs>
        <w:ind w:left="5345" w:hanging="180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6414"/>
        </w:tabs>
        <w:ind w:left="6414" w:hanging="216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7123"/>
        </w:tabs>
        <w:ind w:left="7123" w:hanging="216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8192"/>
        </w:tabs>
        <w:ind w:left="8192" w:hanging="2520"/>
      </w:pPr>
      <w:rPr>
        <w:rFonts w:ascii="Times New Roman" w:hAnsi="Times New Roman" w:cs="Times New Roman" w:hint="default"/>
        <w:b w:val="0"/>
      </w:rPr>
    </w:lvl>
  </w:abstractNum>
  <w:abstractNum w:abstractNumId="24" w15:restartNumberingAfterBreak="0">
    <w:nsid w:val="28A7488A"/>
    <w:multiLevelType w:val="multilevel"/>
    <w:tmpl w:val="39E68C22"/>
    <w:lvl w:ilvl="0">
      <w:start w:val="4"/>
      <w:numFmt w:val="decimal"/>
      <w:lvlText w:val="%1"/>
      <w:lvlJc w:val="left"/>
      <w:pPr>
        <w:tabs>
          <w:tab w:val="num" w:pos="711"/>
        </w:tabs>
        <w:ind w:left="711" w:hanging="711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</w:abstractNum>
  <w:abstractNum w:abstractNumId="25" w15:restartNumberingAfterBreak="0">
    <w:nsid w:val="2B907ABE"/>
    <w:multiLevelType w:val="multilevel"/>
    <w:tmpl w:val="5B1C93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D9030A4"/>
    <w:multiLevelType w:val="hybridMultilevel"/>
    <w:tmpl w:val="6226D6A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19138F8"/>
    <w:multiLevelType w:val="multilevel"/>
    <w:tmpl w:val="A1F2674C"/>
    <w:lvl w:ilvl="0">
      <w:start w:val="5"/>
      <w:numFmt w:val="decimal"/>
      <w:lvlText w:val="%1"/>
      <w:lvlJc w:val="left"/>
      <w:pPr>
        <w:tabs>
          <w:tab w:val="num" w:pos="711"/>
        </w:tabs>
        <w:ind w:left="711" w:hanging="711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33AB7549"/>
    <w:multiLevelType w:val="multilevel"/>
    <w:tmpl w:val="758CF5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216434"/>
    <w:multiLevelType w:val="hybridMultilevel"/>
    <w:tmpl w:val="326006C6"/>
    <w:lvl w:ilvl="0" w:tplc="0809000F">
      <w:start w:val="1"/>
      <w:numFmt w:val="decimal"/>
      <w:lvlText w:val="%1."/>
      <w:lvlJc w:val="left"/>
      <w:pPr>
        <w:ind w:left="790" w:hanging="360"/>
      </w:p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0" w15:restartNumberingAfterBreak="0">
    <w:nsid w:val="40704DB8"/>
    <w:multiLevelType w:val="multilevel"/>
    <w:tmpl w:val="A0F44DF2"/>
    <w:lvl w:ilvl="0">
      <w:start w:val="3"/>
      <w:numFmt w:val="decimal"/>
      <w:lvlText w:val="%1"/>
      <w:lvlJc w:val="left"/>
      <w:pPr>
        <w:tabs>
          <w:tab w:val="num" w:pos="711"/>
        </w:tabs>
        <w:ind w:left="711" w:hanging="711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</w:abstractNum>
  <w:abstractNum w:abstractNumId="31" w15:restartNumberingAfterBreak="0">
    <w:nsid w:val="55933CFC"/>
    <w:multiLevelType w:val="hybridMultilevel"/>
    <w:tmpl w:val="A8A8A6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A1CF1"/>
    <w:multiLevelType w:val="multilevel"/>
    <w:tmpl w:val="2960C562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432" w:hanging="432"/>
      </w:pPr>
      <w:rPr>
        <w:b w:val="0"/>
        <w:i w:val="0"/>
        <w:color w:val="auto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1A2361E"/>
    <w:multiLevelType w:val="hybridMultilevel"/>
    <w:tmpl w:val="DD0CA4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438F4"/>
    <w:multiLevelType w:val="hybridMultilevel"/>
    <w:tmpl w:val="51882D64"/>
    <w:lvl w:ilvl="0" w:tplc="CA12C61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8982C67"/>
    <w:multiLevelType w:val="hybridMultilevel"/>
    <w:tmpl w:val="E98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07A87"/>
    <w:multiLevelType w:val="hybridMultilevel"/>
    <w:tmpl w:val="D4C2C6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434683">
    <w:abstractNumId w:val="0"/>
  </w:num>
  <w:num w:numId="2" w16cid:durableId="664895454">
    <w:abstractNumId w:val="1"/>
  </w:num>
  <w:num w:numId="3" w16cid:durableId="1463499370">
    <w:abstractNumId w:val="2"/>
  </w:num>
  <w:num w:numId="4" w16cid:durableId="304242530">
    <w:abstractNumId w:val="3"/>
  </w:num>
  <w:num w:numId="5" w16cid:durableId="654337592">
    <w:abstractNumId w:val="4"/>
  </w:num>
  <w:num w:numId="6" w16cid:durableId="249655100">
    <w:abstractNumId w:val="5"/>
  </w:num>
  <w:num w:numId="7" w16cid:durableId="920141560">
    <w:abstractNumId w:val="6"/>
  </w:num>
  <w:num w:numId="8" w16cid:durableId="1644002700">
    <w:abstractNumId w:val="7"/>
  </w:num>
  <w:num w:numId="9" w16cid:durableId="2039234966">
    <w:abstractNumId w:val="8"/>
  </w:num>
  <w:num w:numId="10" w16cid:durableId="1936591733">
    <w:abstractNumId w:val="9"/>
  </w:num>
  <w:num w:numId="11" w16cid:durableId="1732921103">
    <w:abstractNumId w:val="10"/>
  </w:num>
  <w:num w:numId="12" w16cid:durableId="486678316">
    <w:abstractNumId w:val="11"/>
  </w:num>
  <w:num w:numId="13" w16cid:durableId="1974555369">
    <w:abstractNumId w:val="12"/>
  </w:num>
  <w:num w:numId="14" w16cid:durableId="57365949">
    <w:abstractNumId w:val="13"/>
  </w:num>
  <w:num w:numId="15" w16cid:durableId="1438595505">
    <w:abstractNumId w:val="14"/>
  </w:num>
  <w:num w:numId="16" w16cid:durableId="1641228093">
    <w:abstractNumId w:val="15"/>
  </w:num>
  <w:num w:numId="17" w16cid:durableId="2441294">
    <w:abstractNumId w:val="16"/>
  </w:num>
  <w:num w:numId="18" w16cid:durableId="1767647557">
    <w:abstractNumId w:val="17"/>
  </w:num>
  <w:num w:numId="19" w16cid:durableId="1342581267">
    <w:abstractNumId w:val="18"/>
  </w:num>
  <w:num w:numId="20" w16cid:durableId="2014990813">
    <w:abstractNumId w:val="23"/>
  </w:num>
  <w:num w:numId="21" w16cid:durableId="150025702">
    <w:abstractNumId w:val="30"/>
  </w:num>
  <w:num w:numId="22" w16cid:durableId="1773698819">
    <w:abstractNumId w:val="24"/>
  </w:num>
  <w:num w:numId="23" w16cid:durableId="494146746">
    <w:abstractNumId w:val="27"/>
  </w:num>
  <w:num w:numId="24" w16cid:durableId="119957527">
    <w:abstractNumId w:val="33"/>
  </w:num>
  <w:num w:numId="25" w16cid:durableId="132454154">
    <w:abstractNumId w:val="29"/>
  </w:num>
  <w:num w:numId="26" w16cid:durableId="498278047">
    <w:abstractNumId w:val="22"/>
  </w:num>
  <w:num w:numId="27" w16cid:durableId="1305499657">
    <w:abstractNumId w:val="28"/>
  </w:num>
  <w:num w:numId="28" w16cid:durableId="519903024">
    <w:abstractNumId w:val="25"/>
  </w:num>
  <w:num w:numId="29" w16cid:durableId="1383284971">
    <w:abstractNumId w:val="20"/>
  </w:num>
  <w:num w:numId="30" w16cid:durableId="1879395071">
    <w:abstractNumId w:val="36"/>
  </w:num>
  <w:num w:numId="31" w16cid:durableId="1287587901">
    <w:abstractNumId w:val="35"/>
  </w:num>
  <w:num w:numId="32" w16cid:durableId="1425809434">
    <w:abstractNumId w:val="26"/>
  </w:num>
  <w:num w:numId="33" w16cid:durableId="701513762">
    <w:abstractNumId w:val="21"/>
  </w:num>
  <w:num w:numId="34" w16cid:durableId="13659865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033739">
    <w:abstractNumId w:val="34"/>
  </w:num>
  <w:num w:numId="36" w16cid:durableId="1240022886">
    <w:abstractNumId w:val="19"/>
  </w:num>
  <w:num w:numId="37" w16cid:durableId="1373581753">
    <w:abstractNumId w:val="19"/>
  </w:num>
  <w:num w:numId="38" w16cid:durableId="16293597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34E"/>
    <w:rsid w:val="000073D1"/>
    <w:rsid w:val="000317E9"/>
    <w:rsid w:val="00034BE2"/>
    <w:rsid w:val="00047EC2"/>
    <w:rsid w:val="00057950"/>
    <w:rsid w:val="000665A8"/>
    <w:rsid w:val="00070598"/>
    <w:rsid w:val="00074363"/>
    <w:rsid w:val="0007496A"/>
    <w:rsid w:val="00074C9E"/>
    <w:rsid w:val="00087139"/>
    <w:rsid w:val="00087598"/>
    <w:rsid w:val="00096AF8"/>
    <w:rsid w:val="000A0B29"/>
    <w:rsid w:val="000B0FF4"/>
    <w:rsid w:val="000B400D"/>
    <w:rsid w:val="000B7735"/>
    <w:rsid w:val="000C7BF0"/>
    <w:rsid w:val="000D56F8"/>
    <w:rsid w:val="000E1CA0"/>
    <w:rsid w:val="000E257D"/>
    <w:rsid w:val="000E29DD"/>
    <w:rsid w:val="000E30A2"/>
    <w:rsid w:val="000E45C2"/>
    <w:rsid w:val="000E5CC0"/>
    <w:rsid w:val="000F2B90"/>
    <w:rsid w:val="000F527E"/>
    <w:rsid w:val="000F5777"/>
    <w:rsid w:val="00103EE7"/>
    <w:rsid w:val="0010598F"/>
    <w:rsid w:val="00112C7C"/>
    <w:rsid w:val="00113944"/>
    <w:rsid w:val="00115B3B"/>
    <w:rsid w:val="0011642B"/>
    <w:rsid w:val="00123E6F"/>
    <w:rsid w:val="00134D4C"/>
    <w:rsid w:val="00137246"/>
    <w:rsid w:val="00152B59"/>
    <w:rsid w:val="00152FEB"/>
    <w:rsid w:val="00162EE6"/>
    <w:rsid w:val="00164990"/>
    <w:rsid w:val="001653A1"/>
    <w:rsid w:val="00166E32"/>
    <w:rsid w:val="00167048"/>
    <w:rsid w:val="00175656"/>
    <w:rsid w:val="00182D4A"/>
    <w:rsid w:val="00182E82"/>
    <w:rsid w:val="00184AC5"/>
    <w:rsid w:val="00191B2F"/>
    <w:rsid w:val="00192CC6"/>
    <w:rsid w:val="001A0397"/>
    <w:rsid w:val="001A08D1"/>
    <w:rsid w:val="001A769D"/>
    <w:rsid w:val="001C07BA"/>
    <w:rsid w:val="001C0AB4"/>
    <w:rsid w:val="001C6C6F"/>
    <w:rsid w:val="001D1917"/>
    <w:rsid w:val="001D7D6F"/>
    <w:rsid w:val="001E6AE2"/>
    <w:rsid w:val="001F5D2A"/>
    <w:rsid w:val="0020112A"/>
    <w:rsid w:val="00214C4D"/>
    <w:rsid w:val="0021750A"/>
    <w:rsid w:val="00223891"/>
    <w:rsid w:val="00224D1E"/>
    <w:rsid w:val="00231E40"/>
    <w:rsid w:val="002523D7"/>
    <w:rsid w:val="00256C37"/>
    <w:rsid w:val="002578B1"/>
    <w:rsid w:val="00260BC1"/>
    <w:rsid w:val="00260F31"/>
    <w:rsid w:val="00266A3B"/>
    <w:rsid w:val="00270602"/>
    <w:rsid w:val="002762FA"/>
    <w:rsid w:val="00277AF0"/>
    <w:rsid w:val="00287E01"/>
    <w:rsid w:val="00295AF6"/>
    <w:rsid w:val="00296E37"/>
    <w:rsid w:val="002A54F5"/>
    <w:rsid w:val="002A60C9"/>
    <w:rsid w:val="002A7D5B"/>
    <w:rsid w:val="002B6F39"/>
    <w:rsid w:val="002D1C95"/>
    <w:rsid w:val="002D36C8"/>
    <w:rsid w:val="002E1EE0"/>
    <w:rsid w:val="002E4755"/>
    <w:rsid w:val="002E4BD1"/>
    <w:rsid w:val="002E7399"/>
    <w:rsid w:val="002F2705"/>
    <w:rsid w:val="002F7644"/>
    <w:rsid w:val="00300BE8"/>
    <w:rsid w:val="003037A7"/>
    <w:rsid w:val="00303D7B"/>
    <w:rsid w:val="00327F26"/>
    <w:rsid w:val="00331B52"/>
    <w:rsid w:val="003329E0"/>
    <w:rsid w:val="00333DA3"/>
    <w:rsid w:val="00354E69"/>
    <w:rsid w:val="0035722F"/>
    <w:rsid w:val="00363CCB"/>
    <w:rsid w:val="00364CF8"/>
    <w:rsid w:val="00370849"/>
    <w:rsid w:val="00371D98"/>
    <w:rsid w:val="00373F77"/>
    <w:rsid w:val="003752A9"/>
    <w:rsid w:val="00376B35"/>
    <w:rsid w:val="00395A5B"/>
    <w:rsid w:val="003A774D"/>
    <w:rsid w:val="003B22E6"/>
    <w:rsid w:val="003C7E1E"/>
    <w:rsid w:val="003D6271"/>
    <w:rsid w:val="003D6FEB"/>
    <w:rsid w:val="003F3437"/>
    <w:rsid w:val="003F61D9"/>
    <w:rsid w:val="003F71E3"/>
    <w:rsid w:val="0040438E"/>
    <w:rsid w:val="00407077"/>
    <w:rsid w:val="00412210"/>
    <w:rsid w:val="0041366A"/>
    <w:rsid w:val="0042148C"/>
    <w:rsid w:val="004316EA"/>
    <w:rsid w:val="0043181E"/>
    <w:rsid w:val="004447FA"/>
    <w:rsid w:val="00445FBD"/>
    <w:rsid w:val="0045043D"/>
    <w:rsid w:val="00451BBD"/>
    <w:rsid w:val="0045264E"/>
    <w:rsid w:val="0045770C"/>
    <w:rsid w:val="004622B0"/>
    <w:rsid w:val="00464D4A"/>
    <w:rsid w:val="0047099F"/>
    <w:rsid w:val="004730EC"/>
    <w:rsid w:val="004A5A91"/>
    <w:rsid w:val="004B1AEC"/>
    <w:rsid w:val="004B27E8"/>
    <w:rsid w:val="004B2C70"/>
    <w:rsid w:val="004B416E"/>
    <w:rsid w:val="004B7F35"/>
    <w:rsid w:val="004C31D5"/>
    <w:rsid w:val="004C42C0"/>
    <w:rsid w:val="004C6660"/>
    <w:rsid w:val="004D2F6B"/>
    <w:rsid w:val="004D773F"/>
    <w:rsid w:val="004E0DB6"/>
    <w:rsid w:val="004E0F19"/>
    <w:rsid w:val="004F1F84"/>
    <w:rsid w:val="005012AD"/>
    <w:rsid w:val="005022AC"/>
    <w:rsid w:val="005066EA"/>
    <w:rsid w:val="00511F36"/>
    <w:rsid w:val="0052161D"/>
    <w:rsid w:val="00524490"/>
    <w:rsid w:val="00540EEC"/>
    <w:rsid w:val="0055057C"/>
    <w:rsid w:val="00557156"/>
    <w:rsid w:val="00561252"/>
    <w:rsid w:val="00562500"/>
    <w:rsid w:val="00562E30"/>
    <w:rsid w:val="005676B3"/>
    <w:rsid w:val="00570A72"/>
    <w:rsid w:val="00571DC8"/>
    <w:rsid w:val="00573F96"/>
    <w:rsid w:val="00595845"/>
    <w:rsid w:val="00596196"/>
    <w:rsid w:val="005972BD"/>
    <w:rsid w:val="00597B4F"/>
    <w:rsid w:val="005A0E7C"/>
    <w:rsid w:val="005A7D89"/>
    <w:rsid w:val="005C5CD7"/>
    <w:rsid w:val="005C7F80"/>
    <w:rsid w:val="005E3BF5"/>
    <w:rsid w:val="005E654C"/>
    <w:rsid w:val="00613910"/>
    <w:rsid w:val="00623302"/>
    <w:rsid w:val="00635CE3"/>
    <w:rsid w:val="00636F94"/>
    <w:rsid w:val="00640E22"/>
    <w:rsid w:val="00640E71"/>
    <w:rsid w:val="006451BD"/>
    <w:rsid w:val="0065458E"/>
    <w:rsid w:val="0065695A"/>
    <w:rsid w:val="00664EF3"/>
    <w:rsid w:val="00665059"/>
    <w:rsid w:val="0066544B"/>
    <w:rsid w:val="00672A9E"/>
    <w:rsid w:val="00674DEF"/>
    <w:rsid w:val="006931AE"/>
    <w:rsid w:val="006959E7"/>
    <w:rsid w:val="006A47DF"/>
    <w:rsid w:val="006B4DEB"/>
    <w:rsid w:val="006C53FE"/>
    <w:rsid w:val="006D3B58"/>
    <w:rsid w:val="006D3FD3"/>
    <w:rsid w:val="006E0163"/>
    <w:rsid w:val="006E16E5"/>
    <w:rsid w:val="006E27E9"/>
    <w:rsid w:val="006F355F"/>
    <w:rsid w:val="006F7301"/>
    <w:rsid w:val="007216ED"/>
    <w:rsid w:val="007227B3"/>
    <w:rsid w:val="007348C9"/>
    <w:rsid w:val="00746ACD"/>
    <w:rsid w:val="00751AD7"/>
    <w:rsid w:val="007525C0"/>
    <w:rsid w:val="00755EEA"/>
    <w:rsid w:val="007575D9"/>
    <w:rsid w:val="0078600D"/>
    <w:rsid w:val="007861E4"/>
    <w:rsid w:val="0079210A"/>
    <w:rsid w:val="007A0CBC"/>
    <w:rsid w:val="007B66C3"/>
    <w:rsid w:val="007B66EF"/>
    <w:rsid w:val="007B6A65"/>
    <w:rsid w:val="007C1BF3"/>
    <w:rsid w:val="007D42AF"/>
    <w:rsid w:val="007E183C"/>
    <w:rsid w:val="007E6407"/>
    <w:rsid w:val="007F4272"/>
    <w:rsid w:val="0080038F"/>
    <w:rsid w:val="008116DF"/>
    <w:rsid w:val="00813E75"/>
    <w:rsid w:val="00825AC9"/>
    <w:rsid w:val="0083346C"/>
    <w:rsid w:val="00834746"/>
    <w:rsid w:val="008421CE"/>
    <w:rsid w:val="008427BB"/>
    <w:rsid w:val="00846853"/>
    <w:rsid w:val="00856015"/>
    <w:rsid w:val="00860730"/>
    <w:rsid w:val="00863D42"/>
    <w:rsid w:val="00867DAF"/>
    <w:rsid w:val="008830C3"/>
    <w:rsid w:val="00891126"/>
    <w:rsid w:val="008A020F"/>
    <w:rsid w:val="008A15D1"/>
    <w:rsid w:val="008A39EA"/>
    <w:rsid w:val="008A4CF8"/>
    <w:rsid w:val="008A7974"/>
    <w:rsid w:val="008B294D"/>
    <w:rsid w:val="008C7DE9"/>
    <w:rsid w:val="008E251F"/>
    <w:rsid w:val="008E79A7"/>
    <w:rsid w:val="008F0FFD"/>
    <w:rsid w:val="008F51A3"/>
    <w:rsid w:val="00900001"/>
    <w:rsid w:val="00902C2A"/>
    <w:rsid w:val="00906539"/>
    <w:rsid w:val="0091497C"/>
    <w:rsid w:val="009200A7"/>
    <w:rsid w:val="00925F54"/>
    <w:rsid w:val="00926613"/>
    <w:rsid w:val="00941418"/>
    <w:rsid w:val="009442DF"/>
    <w:rsid w:val="00944EFD"/>
    <w:rsid w:val="009460A4"/>
    <w:rsid w:val="009624EC"/>
    <w:rsid w:val="00962718"/>
    <w:rsid w:val="0096679B"/>
    <w:rsid w:val="00970A01"/>
    <w:rsid w:val="00970FD8"/>
    <w:rsid w:val="00972567"/>
    <w:rsid w:val="009900FB"/>
    <w:rsid w:val="00990B0A"/>
    <w:rsid w:val="0099149B"/>
    <w:rsid w:val="00994497"/>
    <w:rsid w:val="009A1F8D"/>
    <w:rsid w:val="009A36E1"/>
    <w:rsid w:val="009C350A"/>
    <w:rsid w:val="009C3DE0"/>
    <w:rsid w:val="009E2D3B"/>
    <w:rsid w:val="009F07B5"/>
    <w:rsid w:val="00A07857"/>
    <w:rsid w:val="00A11472"/>
    <w:rsid w:val="00A13E15"/>
    <w:rsid w:val="00A176D9"/>
    <w:rsid w:val="00A17ECD"/>
    <w:rsid w:val="00A2132E"/>
    <w:rsid w:val="00A25477"/>
    <w:rsid w:val="00A26062"/>
    <w:rsid w:val="00A33268"/>
    <w:rsid w:val="00A37EB0"/>
    <w:rsid w:val="00A456A2"/>
    <w:rsid w:val="00A602CB"/>
    <w:rsid w:val="00A65417"/>
    <w:rsid w:val="00A774E2"/>
    <w:rsid w:val="00A77A87"/>
    <w:rsid w:val="00A81630"/>
    <w:rsid w:val="00A84668"/>
    <w:rsid w:val="00A86284"/>
    <w:rsid w:val="00A93A3C"/>
    <w:rsid w:val="00AA175C"/>
    <w:rsid w:val="00AB494D"/>
    <w:rsid w:val="00AD16F8"/>
    <w:rsid w:val="00AD4307"/>
    <w:rsid w:val="00AF0279"/>
    <w:rsid w:val="00AF66E8"/>
    <w:rsid w:val="00B00A1C"/>
    <w:rsid w:val="00B10E7A"/>
    <w:rsid w:val="00B12F26"/>
    <w:rsid w:val="00B142B4"/>
    <w:rsid w:val="00B16B86"/>
    <w:rsid w:val="00B16EA7"/>
    <w:rsid w:val="00B24F57"/>
    <w:rsid w:val="00B35B36"/>
    <w:rsid w:val="00B375A0"/>
    <w:rsid w:val="00B42A96"/>
    <w:rsid w:val="00B4724B"/>
    <w:rsid w:val="00B474DF"/>
    <w:rsid w:val="00B55153"/>
    <w:rsid w:val="00B57D74"/>
    <w:rsid w:val="00B6156E"/>
    <w:rsid w:val="00B66677"/>
    <w:rsid w:val="00B71448"/>
    <w:rsid w:val="00B805F4"/>
    <w:rsid w:val="00B8415E"/>
    <w:rsid w:val="00B87728"/>
    <w:rsid w:val="00B91F70"/>
    <w:rsid w:val="00B92A39"/>
    <w:rsid w:val="00B94CE9"/>
    <w:rsid w:val="00B96E7C"/>
    <w:rsid w:val="00BA5EF7"/>
    <w:rsid w:val="00BB1B2C"/>
    <w:rsid w:val="00BB3A06"/>
    <w:rsid w:val="00BB5A99"/>
    <w:rsid w:val="00BC353A"/>
    <w:rsid w:val="00BC4A58"/>
    <w:rsid w:val="00BD649C"/>
    <w:rsid w:val="00BE11AE"/>
    <w:rsid w:val="00BE520A"/>
    <w:rsid w:val="00BE7FC9"/>
    <w:rsid w:val="00BF12EB"/>
    <w:rsid w:val="00BF1E8E"/>
    <w:rsid w:val="00BF3C15"/>
    <w:rsid w:val="00C04F5F"/>
    <w:rsid w:val="00C07119"/>
    <w:rsid w:val="00C12AD2"/>
    <w:rsid w:val="00C2592A"/>
    <w:rsid w:val="00C33CBE"/>
    <w:rsid w:val="00C35865"/>
    <w:rsid w:val="00C35F65"/>
    <w:rsid w:val="00C42E9D"/>
    <w:rsid w:val="00C47C87"/>
    <w:rsid w:val="00C47CF6"/>
    <w:rsid w:val="00C62761"/>
    <w:rsid w:val="00C665E9"/>
    <w:rsid w:val="00C75A32"/>
    <w:rsid w:val="00C81EB4"/>
    <w:rsid w:val="00C82EDA"/>
    <w:rsid w:val="00C83BE1"/>
    <w:rsid w:val="00CA6338"/>
    <w:rsid w:val="00CB11FE"/>
    <w:rsid w:val="00CC151C"/>
    <w:rsid w:val="00CC2756"/>
    <w:rsid w:val="00CC49E0"/>
    <w:rsid w:val="00CC5B8E"/>
    <w:rsid w:val="00CC76E2"/>
    <w:rsid w:val="00CD5D7D"/>
    <w:rsid w:val="00CE366A"/>
    <w:rsid w:val="00CE3898"/>
    <w:rsid w:val="00CE6515"/>
    <w:rsid w:val="00CF1F47"/>
    <w:rsid w:val="00CF3A54"/>
    <w:rsid w:val="00D06AB2"/>
    <w:rsid w:val="00D07ECA"/>
    <w:rsid w:val="00D2434E"/>
    <w:rsid w:val="00D27C11"/>
    <w:rsid w:val="00D31A41"/>
    <w:rsid w:val="00D31E03"/>
    <w:rsid w:val="00D33C05"/>
    <w:rsid w:val="00D34E55"/>
    <w:rsid w:val="00D3583F"/>
    <w:rsid w:val="00D36CD6"/>
    <w:rsid w:val="00D509A0"/>
    <w:rsid w:val="00D5400C"/>
    <w:rsid w:val="00D5718E"/>
    <w:rsid w:val="00D64939"/>
    <w:rsid w:val="00D8608D"/>
    <w:rsid w:val="00D87C18"/>
    <w:rsid w:val="00DC0BCA"/>
    <w:rsid w:val="00DC186F"/>
    <w:rsid w:val="00DC27A6"/>
    <w:rsid w:val="00DC6382"/>
    <w:rsid w:val="00DC72CA"/>
    <w:rsid w:val="00DD0E13"/>
    <w:rsid w:val="00DD4A12"/>
    <w:rsid w:val="00DD7113"/>
    <w:rsid w:val="00DF6BB1"/>
    <w:rsid w:val="00DF7C65"/>
    <w:rsid w:val="00E079A6"/>
    <w:rsid w:val="00E2215E"/>
    <w:rsid w:val="00E23A24"/>
    <w:rsid w:val="00E30632"/>
    <w:rsid w:val="00E3071D"/>
    <w:rsid w:val="00E3213D"/>
    <w:rsid w:val="00E515E0"/>
    <w:rsid w:val="00E609DA"/>
    <w:rsid w:val="00E65094"/>
    <w:rsid w:val="00E656C9"/>
    <w:rsid w:val="00E70B36"/>
    <w:rsid w:val="00E73948"/>
    <w:rsid w:val="00E77EF9"/>
    <w:rsid w:val="00E82BD8"/>
    <w:rsid w:val="00E91C17"/>
    <w:rsid w:val="00EA3988"/>
    <w:rsid w:val="00EB08C9"/>
    <w:rsid w:val="00EB222C"/>
    <w:rsid w:val="00EC36F1"/>
    <w:rsid w:val="00ED7F4F"/>
    <w:rsid w:val="00EE3F06"/>
    <w:rsid w:val="00EE411E"/>
    <w:rsid w:val="00EE4A7D"/>
    <w:rsid w:val="00F02CBB"/>
    <w:rsid w:val="00F03A42"/>
    <w:rsid w:val="00F05566"/>
    <w:rsid w:val="00F05CA4"/>
    <w:rsid w:val="00F15E9E"/>
    <w:rsid w:val="00F2061D"/>
    <w:rsid w:val="00F23171"/>
    <w:rsid w:val="00F27ECD"/>
    <w:rsid w:val="00F30D9F"/>
    <w:rsid w:val="00F45CA8"/>
    <w:rsid w:val="00F46708"/>
    <w:rsid w:val="00F522D0"/>
    <w:rsid w:val="00F74C3B"/>
    <w:rsid w:val="00F84072"/>
    <w:rsid w:val="00F935AB"/>
    <w:rsid w:val="00F94D18"/>
    <w:rsid w:val="00F97741"/>
    <w:rsid w:val="00FA1E8E"/>
    <w:rsid w:val="00FA7347"/>
    <w:rsid w:val="00FB4D75"/>
    <w:rsid w:val="00FB5231"/>
    <w:rsid w:val="00FC0D91"/>
    <w:rsid w:val="00FC6742"/>
    <w:rsid w:val="00FD4989"/>
    <w:rsid w:val="00FD4FD8"/>
    <w:rsid w:val="00FE2678"/>
    <w:rsid w:val="00FE27BC"/>
    <w:rsid w:val="00FE40E3"/>
    <w:rsid w:val="00FE6299"/>
    <w:rsid w:val="00FF0988"/>
    <w:rsid w:val="00FF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CA60D"/>
  <w15:chartTrackingRefBased/>
  <w15:docId w15:val="{71B80FCC-DF93-4E58-AD0A-648E5342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7D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61252"/>
    <w:pPr>
      <w:keepNext/>
      <w:widowControl/>
      <w:numPr>
        <w:ilvl w:val="1"/>
        <w:numId w:val="34"/>
      </w:numPr>
      <w:suppressAutoHyphens w:val="0"/>
      <w:spacing w:before="360" w:after="60"/>
      <w:outlineLvl w:val="1"/>
    </w:pPr>
    <w:rPr>
      <w:rFonts w:ascii="Verdana" w:hAnsi="Verdana"/>
      <w:color w:val="000000"/>
      <w:sz w:val="44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61252"/>
    <w:pPr>
      <w:keepNext/>
      <w:numPr>
        <w:ilvl w:val="2"/>
        <w:numId w:val="34"/>
      </w:numPr>
      <w:suppressAutoHyphens w:val="0"/>
      <w:spacing w:before="320" w:after="60"/>
      <w:outlineLvl w:val="2"/>
    </w:pPr>
    <w:rPr>
      <w:rFonts w:ascii="Verdana" w:hAnsi="Verdana"/>
      <w:caps/>
      <w:color w:val="000000"/>
      <w:sz w:val="28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61252"/>
    <w:pPr>
      <w:keepNext/>
      <w:numPr>
        <w:ilvl w:val="3"/>
        <w:numId w:val="34"/>
      </w:numPr>
      <w:suppressAutoHyphens w:val="0"/>
      <w:spacing w:before="240" w:after="40"/>
      <w:outlineLvl w:val="3"/>
    </w:pPr>
    <w:rPr>
      <w:rFonts w:ascii="Verdana" w:hAnsi="Verdana"/>
      <w:b/>
      <w:i/>
      <w:color w:val="000000"/>
      <w:sz w:val="22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1252"/>
    <w:pPr>
      <w:keepNext/>
      <w:widowControl/>
      <w:numPr>
        <w:ilvl w:val="4"/>
        <w:numId w:val="34"/>
      </w:numPr>
      <w:suppressAutoHyphens w:val="0"/>
      <w:spacing w:before="220" w:after="40"/>
      <w:outlineLvl w:val="4"/>
    </w:pPr>
    <w:rPr>
      <w:rFonts w:ascii="Verdana" w:hAnsi="Verdana"/>
      <w:color w:val="000000"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61252"/>
    <w:pPr>
      <w:widowControl/>
      <w:numPr>
        <w:ilvl w:val="6"/>
        <w:numId w:val="34"/>
      </w:numPr>
      <w:tabs>
        <w:tab w:val="left" w:pos="993"/>
      </w:tabs>
      <w:suppressAutoHyphens w:val="0"/>
      <w:spacing w:after="60"/>
      <w:outlineLvl w:val="6"/>
    </w:pPr>
    <w:rPr>
      <w:rFonts w:ascii="Verdana" w:hAnsi="Verdana"/>
      <w:color w:val="000000"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61252"/>
    <w:pPr>
      <w:widowControl/>
      <w:numPr>
        <w:ilvl w:val="7"/>
        <w:numId w:val="34"/>
      </w:numPr>
      <w:suppressAutoHyphens w:val="0"/>
      <w:spacing w:before="140" w:after="20"/>
      <w:outlineLvl w:val="7"/>
    </w:pPr>
    <w:rPr>
      <w:rFonts w:ascii="Verdana" w:hAnsi="Verdana"/>
      <w:i/>
      <w:color w:val="000000"/>
      <w:sz w:val="18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1252"/>
    <w:pPr>
      <w:keepNext/>
      <w:numPr>
        <w:ilvl w:val="8"/>
        <w:numId w:val="34"/>
      </w:numPr>
      <w:suppressAutoHyphens w:val="0"/>
      <w:spacing w:before="120"/>
      <w:outlineLvl w:val="8"/>
    </w:pPr>
    <w:rPr>
      <w:rFonts w:ascii="Verdana" w:hAnsi="Verdana"/>
      <w:color w:val="000000"/>
      <w:sz w:val="1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8z1">
    <w:name w:val="WW8Num8z1"/>
    <w:rPr>
      <w:rFonts w:ascii="Courier New" w:hAnsi="Courier New" w:cs="StarSymbol"/>
      <w:sz w:val="18"/>
      <w:szCs w:val="18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9z1">
    <w:name w:val="WW8Num9z1"/>
    <w:rPr>
      <w:rFonts w:ascii="Courier New" w:hAnsi="Courier New" w:cs="StarSymbol"/>
      <w:sz w:val="18"/>
      <w:szCs w:val="18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1z0">
    <w:name w:val="WW8Num11z0"/>
    <w:rPr>
      <w:rFonts w:ascii="StarSymbol" w:hAnsi="StarSymbol"/>
    </w:rPr>
  </w:style>
  <w:style w:type="character" w:customStyle="1" w:styleId="WW8Num11z1">
    <w:name w:val="WW8Num11z1"/>
    <w:rPr>
      <w:rFonts w:ascii="Wingdings 2" w:hAnsi="Wingdings 2" w:cs="Courier New"/>
    </w:rPr>
  </w:style>
  <w:style w:type="character" w:customStyle="1" w:styleId="WW8Num12z0">
    <w:name w:val="WW8Num12z0"/>
    <w:rPr>
      <w:rFonts w:ascii="StarSymbol" w:hAnsi="StarSymbol" w:cs="StarSymbol"/>
      <w:sz w:val="18"/>
      <w:szCs w:val="18"/>
    </w:rPr>
  </w:style>
  <w:style w:type="character" w:customStyle="1" w:styleId="WW8Num12z1">
    <w:name w:val="WW8Num12z1"/>
    <w:rPr>
      <w:rFonts w:ascii="Wingdings 2" w:hAnsi="Wingdings 2" w:cs="StarSymbol"/>
      <w:sz w:val="18"/>
      <w:szCs w:val="18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StarSymbol"/>
      <w:sz w:val="18"/>
      <w:szCs w:val="18"/>
    </w:rPr>
  </w:style>
  <w:style w:type="character" w:customStyle="1" w:styleId="WW8Num15z0">
    <w:name w:val="WW8Num15z0"/>
    <w:rPr>
      <w:rFonts w:ascii="StarSymbol" w:hAnsi="StarSymbol" w:cs="StarSymbol"/>
      <w:sz w:val="18"/>
      <w:szCs w:val="18"/>
    </w:rPr>
  </w:style>
  <w:style w:type="character" w:customStyle="1" w:styleId="WW8Num15z1">
    <w:name w:val="WW8Num15z1"/>
    <w:rPr>
      <w:rFonts w:ascii="Wingdings 2" w:hAnsi="Wingdings 2" w:cs="StarSymbol"/>
      <w:sz w:val="18"/>
      <w:szCs w:val="18"/>
    </w:rPr>
  </w:style>
  <w:style w:type="character" w:customStyle="1" w:styleId="WW8Num18z0">
    <w:name w:val="WW8Num18z0"/>
    <w:rPr>
      <w:rFonts w:ascii="Symbol" w:hAnsi="Symbol" w:cs="StarSymbol"/>
      <w:sz w:val="18"/>
      <w:szCs w:val="18"/>
    </w:rPr>
  </w:style>
  <w:style w:type="character" w:customStyle="1" w:styleId="WW8Num19z0">
    <w:name w:val="WW8Num19z0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-Absatz-Standardschriftart1111111111111111">
    <w:name w:val="WW-Absatz-Standardschriftart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4z0">
    <w:name w:val="WW8Num14z0"/>
    <w:rPr>
      <w:rFonts w:ascii="StarSymbol" w:hAnsi="StarSymbol" w:cs="StarSymbol"/>
      <w:sz w:val="18"/>
      <w:szCs w:val="18"/>
    </w:rPr>
  </w:style>
  <w:style w:type="character" w:customStyle="1" w:styleId="WW8Num14z1">
    <w:name w:val="WW8Num14z1"/>
    <w:rPr>
      <w:rFonts w:ascii="Wingdings 2" w:hAnsi="Wingdings 2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Illustration">
    <w:name w:val="Illustration"/>
    <w:basedOn w:val="Caption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Header">
    <w:name w:val="header"/>
    <w:basedOn w:val="Normal"/>
    <w:link w:val="HeaderChar"/>
    <w:uiPriority w:val="99"/>
    <w:unhideWhenUsed/>
    <w:rsid w:val="00E650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094"/>
  </w:style>
  <w:style w:type="character" w:customStyle="1" w:styleId="FooterChar">
    <w:name w:val="Footer Char"/>
    <w:link w:val="Footer"/>
    <w:uiPriority w:val="99"/>
    <w:rsid w:val="00E65094"/>
  </w:style>
  <w:style w:type="paragraph" w:customStyle="1" w:styleId="Default">
    <w:name w:val="Default"/>
    <w:rsid w:val="002A54F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A0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6A47D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rsid w:val="00561252"/>
    <w:rPr>
      <w:rFonts w:ascii="Verdana" w:hAnsi="Verdana"/>
      <w:color w:val="000000"/>
      <w:sz w:val="44"/>
    </w:rPr>
  </w:style>
  <w:style w:type="character" w:customStyle="1" w:styleId="Heading3Char">
    <w:name w:val="Heading 3 Char"/>
    <w:link w:val="Heading3"/>
    <w:semiHidden/>
    <w:rsid w:val="00561252"/>
    <w:rPr>
      <w:rFonts w:ascii="Verdana" w:hAnsi="Verdana"/>
      <w:caps/>
      <w:color w:val="000000"/>
      <w:sz w:val="28"/>
    </w:rPr>
  </w:style>
  <w:style w:type="character" w:customStyle="1" w:styleId="Heading4Char">
    <w:name w:val="Heading 4 Char"/>
    <w:link w:val="Heading4"/>
    <w:semiHidden/>
    <w:rsid w:val="00561252"/>
    <w:rPr>
      <w:rFonts w:ascii="Verdana" w:hAnsi="Verdana"/>
      <w:b/>
      <w:i/>
      <w:color w:val="000000"/>
      <w:sz w:val="22"/>
    </w:rPr>
  </w:style>
  <w:style w:type="character" w:customStyle="1" w:styleId="Heading5Char">
    <w:name w:val="Heading 5 Char"/>
    <w:link w:val="Heading5"/>
    <w:semiHidden/>
    <w:rsid w:val="00561252"/>
    <w:rPr>
      <w:rFonts w:ascii="Verdana" w:hAnsi="Verdana"/>
      <w:color w:val="000000"/>
      <w:sz w:val="22"/>
    </w:rPr>
  </w:style>
  <w:style w:type="character" w:customStyle="1" w:styleId="Heading7Char">
    <w:name w:val="Heading 7 Char"/>
    <w:link w:val="Heading7"/>
    <w:semiHidden/>
    <w:rsid w:val="00561252"/>
    <w:rPr>
      <w:rFonts w:ascii="Verdana" w:hAnsi="Verdana"/>
      <w:color w:val="000000"/>
    </w:rPr>
  </w:style>
  <w:style w:type="character" w:customStyle="1" w:styleId="Heading8Char">
    <w:name w:val="Heading 8 Char"/>
    <w:link w:val="Heading8"/>
    <w:semiHidden/>
    <w:rsid w:val="00561252"/>
    <w:rPr>
      <w:rFonts w:ascii="Verdana" w:hAnsi="Verdana"/>
      <w:i/>
      <w:color w:val="000000"/>
      <w:sz w:val="18"/>
    </w:rPr>
  </w:style>
  <w:style w:type="character" w:customStyle="1" w:styleId="Heading9Char">
    <w:name w:val="Heading 9 Char"/>
    <w:link w:val="Heading9"/>
    <w:semiHidden/>
    <w:rsid w:val="00561252"/>
    <w:rPr>
      <w:rFonts w:ascii="Verdana" w:hAnsi="Verdana"/>
      <w:color w:val="000000"/>
      <w:sz w:val="14"/>
    </w:rPr>
  </w:style>
  <w:style w:type="paragraph" w:styleId="ListParagraph">
    <w:name w:val="List Paragraph"/>
    <w:basedOn w:val="Normal"/>
    <w:uiPriority w:val="34"/>
    <w:qFormat/>
    <w:rsid w:val="00561252"/>
    <w:pPr>
      <w:widowControl/>
      <w:suppressAutoHyphens w:val="0"/>
      <w:ind w:left="720"/>
    </w:pPr>
    <w:rPr>
      <w:rFonts w:ascii="Verdana" w:hAnsi="Verdana"/>
      <w:sz w:val="22"/>
      <w:szCs w:val="20"/>
    </w:rPr>
  </w:style>
  <w:style w:type="paragraph" w:customStyle="1" w:styleId="Style1">
    <w:name w:val="Style1"/>
    <w:basedOn w:val="Heading1"/>
    <w:rsid w:val="00561252"/>
    <w:pPr>
      <w:keepNext w:val="0"/>
      <w:widowControl/>
      <w:numPr>
        <w:numId w:val="34"/>
      </w:numPr>
      <w:tabs>
        <w:tab w:val="clear" w:pos="720"/>
        <w:tab w:val="num" w:pos="360"/>
        <w:tab w:val="left" w:pos="432"/>
      </w:tabs>
      <w:suppressAutoHyphens w:val="0"/>
      <w:spacing w:before="180" w:after="0"/>
      <w:ind w:left="0" w:firstLine="0"/>
    </w:pPr>
    <w:rPr>
      <w:rFonts w:ascii="Verdana" w:hAnsi="Verdana"/>
      <w:b w:val="0"/>
      <w:bCs w:val="0"/>
      <w:color w:val="000000"/>
      <w:kern w:val="28"/>
      <w:sz w:val="22"/>
      <w:szCs w:val="20"/>
    </w:rPr>
  </w:style>
  <w:style w:type="paragraph" w:styleId="NoSpacing">
    <w:name w:val="No Spacing"/>
    <w:uiPriority w:val="1"/>
    <w:qFormat/>
    <w:rsid w:val="0045770C"/>
    <w:pPr>
      <w:spacing w:line="360" w:lineRule="auto"/>
    </w:pPr>
    <w:rPr>
      <w:rFonts w:ascii="Tahoma" w:hAnsi="Tahom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E82BD8"/>
    <w:pPr>
      <w:spacing w:line="48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1D517-5BAB-4CCA-A535-FB117451C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Erection of four dwellings (Outline) at Ashworth road, off Burnley Road East </vt:lpstr>
    </vt:vector>
  </TitlesOfParts>
  <Company>East Lancs LIFT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Erection of four dwellings (Outline) at Ashworth road, off Burnley Road East </dc:title>
  <dc:subject/>
  <dc:creator>Steven Hartley</dc:creator>
  <cp:keywords/>
  <dc:description/>
  <cp:lastModifiedBy>Steven Hartley</cp:lastModifiedBy>
  <cp:revision>2</cp:revision>
  <cp:lastPrinted>2006-03-12T00:30:00Z</cp:lastPrinted>
  <dcterms:created xsi:type="dcterms:W3CDTF">2025-01-27T15:10:00Z</dcterms:created>
  <dcterms:modified xsi:type="dcterms:W3CDTF">2025-01-27T15:10:00Z</dcterms:modified>
</cp:coreProperties>
</file>