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bCs/>
          <w:i/>
          <w:iCs/>
          <w:u w:val="single" w:color="auto"/>
          <w:lang w:val="en-UK"/>
        </w:rPr>
      </w:pPr>
      <w:r>
        <w:rPr>
          <w:b/>
          <w:bCs/>
          <w:i/>
          <w:iCs/>
          <w:u w:val="single" w:color="auto"/>
          <w:lang w:val="en-UK"/>
        </w:rPr>
        <w:t>Green Belt Statement</w:t>
      </w:r>
    </w:p>
    <w:p>
      <w:pPr>
        <w:jc w:val="center"/>
        <w:rPr>
          <w:b/>
          <w:bCs/>
          <w:i/>
          <w:iCs/>
          <w:u w:val="single" w:color="auto"/>
          <w:lang w:val="en-UK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-BoldMT" w:cs="Times New Roman"/>
          <w:b/>
          <w:u w:val="single" w:color="auto"/>
        </w:rPr>
      </w:pPr>
      <w:r>
        <w:rPr>
          <w:rFonts w:hint="default" w:ascii="Times New Roman" w:hAnsi="Times New Roman" w:eastAsia="Arial-BoldMT" w:cs="Times New Roman"/>
          <w:b/>
          <w:u w:val="single" w:color="auto"/>
        </w:rPr>
        <w:t>Change of use from stables to residential dwelling including increase in roof</w:t>
      </w:r>
      <w:r>
        <w:rPr>
          <w:rFonts w:hint="default" w:ascii="Times New Roman" w:hAnsi="Times New Roman" w:eastAsia="Arial-BoldMT" w:cs="Times New Roman"/>
          <w:b/>
          <w:u w:val="single" w:color="auto"/>
          <w:lang w:val="en-UK"/>
        </w:rPr>
        <w:t xml:space="preserve"> </w:t>
      </w:r>
      <w:r>
        <w:rPr>
          <w:rFonts w:hint="default" w:ascii="Times New Roman" w:hAnsi="Times New Roman" w:eastAsia="Arial-BoldMT" w:cs="Times New Roman"/>
          <w:b/>
          <w:u w:val="single" w:color="auto"/>
        </w:rPr>
        <w:t>height and alteration to fenestration, formation of vehicular access and</w:t>
      </w:r>
      <w:r>
        <w:rPr>
          <w:rFonts w:hint="default" w:ascii="Times New Roman" w:hAnsi="Times New Roman" w:eastAsia="Arial-BoldMT" w:cs="Times New Roman"/>
          <w:b/>
          <w:u w:val="single" w:color="auto"/>
          <w:lang w:val="en-UK"/>
        </w:rPr>
        <w:t xml:space="preserve"> </w:t>
      </w:r>
      <w:r>
        <w:rPr>
          <w:rFonts w:hint="default" w:ascii="Times New Roman" w:hAnsi="Times New Roman" w:eastAsia="Arial-BoldMT" w:cs="Times New Roman"/>
          <w:b/>
          <w:u w:val="single" w:color="auto"/>
        </w:rPr>
        <w:t>boundary treatments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-BoldMT" w:cs="Times New Roman"/>
          <w:b/>
          <w:u w:val="single" w:color="auto"/>
        </w:rPr>
      </w:pPr>
      <w:r>
        <w:rPr>
          <w:rFonts w:hint="default" w:ascii="Times New Roman" w:hAnsi="Times New Roman" w:eastAsia="Arial-BoldMT" w:cs="Times New Roman"/>
          <w:b/>
          <w:u w:val="single" w:color="auto"/>
        </w:rPr>
        <w:t>Stables on land to north west of 19 Broad Lane, Burnedge, Rochdale, OL16</w:t>
      </w:r>
    </w:p>
    <w:p>
      <w:pPr>
        <w:rPr>
          <w:rFonts w:hint="default" w:ascii="Times New Roman" w:hAnsi="Times New Roman" w:cs="Times New Roman"/>
          <w:u w:val="single" w:color="auto"/>
        </w:rPr>
      </w:pPr>
      <w:r>
        <w:rPr>
          <w:rFonts w:hint="default" w:ascii="Times New Roman" w:hAnsi="Times New Roman" w:eastAsia="Arial-BoldMT" w:cs="Times New Roman"/>
          <w:b/>
          <w:u w:val="single" w:color="auto"/>
        </w:rPr>
        <w:t>4QQ.</w:t>
      </w:r>
    </w:p>
    <w:p/>
    <w:p>
      <w:pPr>
        <w:rPr>
          <w:b/>
          <w:bCs/>
          <w:lang w:val="en-UK"/>
        </w:rPr>
      </w:pPr>
      <w:r>
        <w:rPr>
          <w:b/>
          <w:bCs/>
          <w:lang w:val="en-UK"/>
        </w:rPr>
        <w:t>POLICY</w:t>
      </w:r>
      <w:bookmarkStart w:id="0" w:name="_GoBack"/>
      <w:bookmarkEnd w:id="0"/>
    </w:p>
    <w:p>
      <w:pPr>
        <w:rPr>
          <w:lang w:val="en-UK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In respect of the Green Belt, The NPPF states that the fundamental aim of Green Belt policy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is to prevent urban sprawl by keeping land permanently open. The purposes of Green Belt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are: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to check unrestricted sprawl;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prevent neighbouring towns merging;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assist in safeguarding the countryside from encroachment;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preserve the setting and special character of historic towns;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ascii="Times New Roman" w:hAnsi="Times New Roman" w:eastAsia="Arial" w:cs="Times New Roman"/>
          <w:sz w:val="21"/>
          <w:szCs w:val="21"/>
        </w:rPr>
        <w:t>assist in urban regeneration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eastAsia="Arial" w:cs="Times New Roman"/>
          <w:sz w:val="21"/>
          <w:szCs w:val="21"/>
          <w:lang w:val="en-UK"/>
        </w:rPr>
        <w:t>T</w:t>
      </w:r>
      <w:r>
        <w:rPr>
          <w:rFonts w:hint="default" w:ascii="Times New Roman" w:hAnsi="Times New Roman" w:eastAsia="Arial" w:cs="Times New Roman"/>
          <w:sz w:val="21"/>
          <w:szCs w:val="21"/>
        </w:rPr>
        <w:t>he NPPF states that a local planning authority should regard the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construction of new buildings as inappropriate in Green Belt. Exceptions to this are: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a) </w:t>
      </w:r>
      <w:r>
        <w:rPr>
          <w:rFonts w:hint="default" w:ascii="Times New Roman" w:hAnsi="Times New Roman" w:eastAsia="Arial" w:cs="Times New Roman"/>
          <w:sz w:val="21"/>
          <w:szCs w:val="21"/>
        </w:rPr>
        <w:t>buildings for agriculture and forestry;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b) </w:t>
      </w:r>
      <w:r>
        <w:rPr>
          <w:rFonts w:hint="default" w:ascii="Times New Roman" w:hAnsi="Times New Roman" w:eastAsia="Arial" w:cs="Times New Roman"/>
          <w:sz w:val="21"/>
          <w:szCs w:val="21"/>
        </w:rPr>
        <w:t>provision of appropriate facilities for outdoor sport, outdoor recreation and for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cemeteries, as long as it preserves the openness of the Green Belt and does not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conflict with the purposes of including land within it;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b/>
          <w:bCs/>
          <w:sz w:val="21"/>
          <w:szCs w:val="21"/>
        </w:rPr>
      </w:pPr>
      <w:r>
        <w:rPr>
          <w:rFonts w:hint="default" w:eastAsia="Arial" w:cs="Times New Roman"/>
          <w:b/>
          <w:bCs/>
          <w:sz w:val="21"/>
          <w:szCs w:val="21"/>
          <w:lang w:val="en-UK"/>
        </w:rPr>
        <w:t xml:space="preserve">c) </w:t>
      </w:r>
      <w:r>
        <w:rPr>
          <w:rFonts w:hint="default" w:ascii="Times New Roman" w:hAnsi="Times New Roman" w:eastAsia="Arial" w:cs="Times New Roman"/>
          <w:b/>
          <w:bCs/>
          <w:sz w:val="21"/>
          <w:szCs w:val="21"/>
        </w:rPr>
        <w:t>the extension or alteration of a building provided that it does not result in</w:t>
      </w:r>
      <w:r>
        <w:rPr>
          <w:rFonts w:hint="default" w:ascii="Times New Roman" w:hAnsi="Times New Roman" w:eastAsia="Arial" w:cs="Times New Roman"/>
          <w:b/>
          <w:bCs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b/>
          <w:bCs/>
          <w:sz w:val="21"/>
          <w:szCs w:val="21"/>
        </w:rPr>
        <w:t>disproportionate additions over and above the size of the original building;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d) </w:t>
      </w:r>
      <w:r>
        <w:rPr>
          <w:rFonts w:hint="default" w:ascii="Times New Roman" w:hAnsi="Times New Roman" w:eastAsia="Arial" w:cs="Times New Roman"/>
          <w:sz w:val="21"/>
          <w:szCs w:val="21"/>
        </w:rPr>
        <w:t>the replacement of a building, provided the new building is in the same use and not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materially larger than the one it replaces;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e) </w:t>
      </w:r>
      <w:r>
        <w:rPr>
          <w:rFonts w:hint="default" w:ascii="Times New Roman" w:hAnsi="Times New Roman" w:eastAsia="Arial" w:cs="Times New Roman"/>
          <w:sz w:val="21"/>
          <w:szCs w:val="21"/>
        </w:rPr>
        <w:t>limited infilling in villages, and limited affordable housing for local community needs</w:t>
      </w:r>
      <w:r>
        <w:rPr>
          <w:rFonts w:hint="default" w:ascii="Times New Roman" w:hAnsi="Times New Roman" w:eastAsia="Arial" w:cs="Times New Roman"/>
          <w:sz w:val="21"/>
          <w:szCs w:val="21"/>
          <w:lang w:val="en-UK"/>
        </w:rPr>
        <w:t xml:space="preserve"> </w:t>
      </w:r>
      <w:r>
        <w:rPr>
          <w:rFonts w:hint="default" w:ascii="Times New Roman" w:hAnsi="Times New Roman" w:eastAsia="Arial" w:cs="Times New Roman"/>
          <w:sz w:val="21"/>
          <w:szCs w:val="21"/>
        </w:rPr>
        <w:t>under policies set out in the Local Plan; or</w:t>
      </w:r>
    </w:p>
    <w:p>
      <w:pPr>
        <w:widowControl w:val="0"/>
        <w:autoSpaceDE w:val="0"/>
        <w:autoSpaceDN w:val="0"/>
        <w:rPr>
          <w:rFonts w:hint="default" w:ascii="Times New Roman" w:hAnsi="Times New Roman" w:eastAsia="Verdana" w:cs="Times New Roman"/>
          <w:sz w:val="21"/>
          <w:szCs w:val="21"/>
        </w:rPr>
      </w:pPr>
    </w:p>
    <w:p>
      <w:pPr>
        <w:shd w:val="solid" w:color="FFFFFF" w:fill="auto"/>
        <w:autoSpaceDN w:val="0"/>
        <w:jc w:val="both"/>
        <w:rPr>
          <w:rFonts w:hint="default" w:ascii="Times New Roman" w:hAnsi="Times New Roman" w:cs="Times New Roman"/>
          <w:b w:val="0"/>
          <w:i w:val="0"/>
          <w:color w:val="201F1E"/>
          <w:sz w:val="21"/>
          <w:szCs w:val="21"/>
          <w:shd w:val="clear" w:color="auto" w:fill="FFFFFF"/>
        </w:rPr>
      </w:pPr>
      <w:r>
        <w:rPr>
          <w:rFonts w:hint="default" w:ascii="Times New Roman" w:hAnsi="Times New Roman" w:cs="Times New Roman"/>
          <w:b w:val="0"/>
          <w:i w:val="0"/>
          <w:color w:val="201F1E"/>
          <w:sz w:val="21"/>
          <w:szCs w:val="21"/>
          <w:shd w:val="clear" w:color="auto" w:fill="FFFFFF"/>
          <w:lang w:val="en-UK"/>
        </w:rPr>
        <w:t xml:space="preserve">f) </w:t>
      </w:r>
      <w:r>
        <w:rPr>
          <w:rFonts w:hint="default" w:ascii="Times New Roman" w:hAnsi="Times New Roman" w:cs="Times New Roman"/>
          <w:b w:val="0"/>
          <w:i w:val="0"/>
          <w:color w:val="201F1E"/>
          <w:sz w:val="21"/>
          <w:szCs w:val="21"/>
          <w:shd w:val="clear" w:color="auto" w:fill="FFFFFF"/>
        </w:rPr>
        <w:t>limited affordable housing for local community needs under policies set out in the development plan (including policies for rural exception sites); and</w:t>
      </w:r>
    </w:p>
    <w:p>
      <w:pPr>
        <w:shd w:val="solid" w:color="FFFFFF" w:fill="auto"/>
        <w:autoSpaceDN w:val="0"/>
        <w:jc w:val="both"/>
        <w:rPr>
          <w:rFonts w:hint="default" w:ascii="Times New Roman" w:hAnsi="Times New Roman" w:cs="Times New Roman"/>
          <w:b w:val="0"/>
          <w:i w:val="0"/>
          <w:color w:val="201F1E"/>
          <w:sz w:val="21"/>
          <w:szCs w:val="21"/>
          <w:shd w:val="clear" w:color="auto" w:fill="FFFFFF"/>
        </w:rPr>
      </w:pPr>
    </w:p>
    <w:p>
      <w:pPr>
        <w:shd w:val="solid" w:color="FFFFFF" w:fill="auto"/>
        <w:autoSpaceDN w:val="0"/>
        <w:jc w:val="both"/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</w:pPr>
      <w:r>
        <w:rPr>
          <w:rFonts w:hint="default" w:cs="Times New Roman"/>
          <w:b/>
          <w:bCs/>
          <w:i w:val="0"/>
          <w:color w:val="201F1E"/>
          <w:sz w:val="21"/>
          <w:szCs w:val="21"/>
          <w:shd w:val="clear" w:color="auto" w:fill="FFFFFF"/>
          <w:lang w:val="en-UK"/>
        </w:rPr>
        <w:t xml:space="preserve">g) </w:t>
      </w:r>
      <w:r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  <w:t>limited infilling or the partial or complete redevelopment of previously developed land, whether redundant or in continuing use (excluding temporary buildings), which would:</w:t>
      </w:r>
    </w:p>
    <w:p>
      <w:pPr>
        <w:shd w:val="solid" w:color="FFFFFF" w:fill="auto"/>
        <w:autoSpaceDN w:val="0"/>
        <w:ind w:left="1440" w:hanging="720"/>
        <w:jc w:val="both"/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</w:pPr>
      <w:r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  <w:t>‒    not have a greater impact on the openness of the Green Belt than the existing development; or</w:t>
      </w:r>
    </w:p>
    <w:p>
      <w:pPr>
        <w:shd w:val="solid" w:color="FFFFFF" w:fill="auto"/>
        <w:autoSpaceDN w:val="0"/>
        <w:ind w:left="1440" w:hanging="720"/>
        <w:jc w:val="both"/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</w:pPr>
      <w:r>
        <w:rPr>
          <w:rFonts w:hint="default" w:ascii="Times New Roman" w:hAnsi="Times New Roman" w:cs="Times New Roman"/>
          <w:b/>
          <w:bCs/>
          <w:i w:val="0"/>
          <w:color w:val="201F1E"/>
          <w:sz w:val="21"/>
          <w:szCs w:val="21"/>
          <w:shd w:val="clear" w:color="auto" w:fill="FFFFFF"/>
        </w:rPr>
        <w:t>‒   not cause substantial harm to the openness of the Green Belt, where the development would re-use previously developed land and contribute to meeting an identified affordable housing need within the area of the local planning authority.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</w:rPr>
      </w:pPr>
    </w:p>
    <w:p>
      <w:pPr>
        <w:widowControl w:val="0"/>
        <w:autoSpaceDE w:val="0"/>
        <w:autoSpaceDN w:val="0"/>
        <w:rPr>
          <w:rFonts w:hint="default" w:eastAsia="Arial" w:cs="Times New Roman"/>
          <w:sz w:val="21"/>
          <w:szCs w:val="21"/>
          <w:lang w:val="en-UK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It is important to note the consultation draft changes to the National Planning Policy Framework and the associated Ministerial Statement which provides a ‘direction of travel’ for policy. We note the change to the guidance relating to the </w:t>
      </w:r>
      <w:r>
        <w:rPr>
          <w:rFonts w:hint="default" w:eastAsia="Arial" w:cs="Times New Roman"/>
          <w:i/>
          <w:iCs/>
          <w:sz w:val="21"/>
          <w:szCs w:val="21"/>
          <w:lang w:val="en-UK"/>
        </w:rPr>
        <w:t>‘infilling or the partial or complete redevelopment of previously developed land’</w:t>
      </w:r>
      <w:r>
        <w:rPr>
          <w:rFonts w:hint="default" w:eastAsia="Arial" w:cs="Times New Roman"/>
          <w:sz w:val="21"/>
          <w:szCs w:val="21"/>
          <w:lang w:val="en-UK"/>
        </w:rPr>
        <w:t xml:space="preserve"> proposes no longer setting the test as being no </w:t>
      </w:r>
      <w:r>
        <w:rPr>
          <w:rFonts w:hint="default" w:eastAsia="Arial" w:cs="Times New Roman"/>
          <w:i/>
          <w:iCs/>
          <w:sz w:val="21"/>
          <w:szCs w:val="21"/>
          <w:lang w:val="en-UK"/>
        </w:rPr>
        <w:t>‘greater impact upon the openness of the Green Belt’</w:t>
      </w:r>
      <w:r>
        <w:rPr>
          <w:rFonts w:hint="default" w:eastAsia="Arial" w:cs="Times New Roman"/>
          <w:sz w:val="21"/>
          <w:szCs w:val="21"/>
          <w:lang w:val="en-UK"/>
        </w:rPr>
        <w:t xml:space="preserve"> rather that it would </w:t>
      </w:r>
      <w:r>
        <w:rPr>
          <w:rFonts w:hint="default" w:eastAsia="Arial" w:cs="Times New Roman"/>
          <w:i/>
          <w:iCs/>
          <w:sz w:val="21"/>
          <w:szCs w:val="21"/>
          <w:lang w:val="en-UK"/>
        </w:rPr>
        <w:t>‘not cause substantial harm to the openness of the Green Belt’</w:t>
      </w:r>
      <w:r>
        <w:rPr>
          <w:rFonts w:hint="default" w:eastAsia="Arial" w:cs="Times New Roman"/>
          <w:sz w:val="21"/>
          <w:szCs w:val="21"/>
          <w:lang w:val="en-UK"/>
        </w:rPr>
        <w:t>. This suggests that where a site is previously developed , as is the case with the application site, the impact upon the openness is a less significant consideration. This is of course entirely consistent with the assessment of harm to the five purposes of the Green Belt.</w:t>
      </w:r>
    </w:p>
    <w:p>
      <w:pPr>
        <w:widowControl w:val="0"/>
        <w:autoSpaceDE w:val="0"/>
        <w:autoSpaceDN w:val="0"/>
        <w:rPr>
          <w:rFonts w:hint="default" w:ascii="Times New Roman" w:hAnsi="Times New Roman" w:eastAsia="Arial" w:cs="Times New Roman"/>
          <w:sz w:val="21"/>
          <w:szCs w:val="21"/>
          <w:lang w:val="en-UK"/>
        </w:rPr>
      </w:pPr>
      <w:r>
        <w:rPr>
          <w:rFonts w:hint="default" w:eastAsia="Arial" w:cs="Times New Roman"/>
          <w:sz w:val="21"/>
          <w:szCs w:val="21"/>
          <w:lang w:val="en-UK"/>
        </w:rPr>
        <w:t xml:space="preserve"> </w:t>
      </w: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It is submitted that the proposal complies with criteria c) and g) above and the following is a comparison of existing and proposed floor areas and volumes.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Existing footprint gross external area - 100.89 m2</w:t>
      </w: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Proposed footprint gross external area - 100.89 m2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There will be no change to the footprint of the building.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 xml:space="preserve">Existing volume - 354 m3 </w:t>
      </w: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 xml:space="preserve">Proposed volume - 473.66 m3 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Increase in volume - 120 m3 = 33.5%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 xml:space="preserve">It is clear therefore that the proposal does not exceed the generally accepted increase of 35% in volume or footprint for development in the Green Belt and will thus not be disproportionate and will not materially affect the openness of the Green Belt. </w:t>
      </w:r>
    </w:p>
    <w:p>
      <w:pPr>
        <w:rPr>
          <w:rFonts w:hint="default" w:cs="Times New Roman"/>
          <w:sz w:val="21"/>
          <w:szCs w:val="21"/>
          <w:lang w:val="en-UK"/>
        </w:rPr>
      </w:pPr>
    </w:p>
    <w:p>
      <w:pPr>
        <w:rPr>
          <w:rFonts w:hint="default" w:cs="Times New Roman"/>
          <w:sz w:val="21"/>
          <w:szCs w:val="21"/>
          <w:lang w:val="en-UK"/>
        </w:rPr>
      </w:pPr>
      <w:r>
        <w:rPr>
          <w:rFonts w:hint="default" w:cs="Times New Roman"/>
          <w:sz w:val="21"/>
          <w:szCs w:val="21"/>
          <w:lang w:val="en-UK"/>
        </w:rPr>
        <w:t>There will be a raise in ridge of height of just less than 2 metres and we would refer to planning approval reference 21/01055/HOUS for the raising in roof height and dormer construction of a similar building at Plumpton Boskins, Oldham Road. The ridge height was increased by 1.80 metres.</w:t>
      </w:r>
    </w:p>
    <w:sectPr>
      <w:pgSz w:w="11849" w:h="16781"/>
      <w:pgMar w:top="1440" w:right="1117" w:bottom="1440" w:left="1117" w:header="1446" w:footer="1446" w:gutter="0"/>
      <w:paperSrc w:first="0" w:other="0"/>
      <w:cols w:space="720" w:num="1"/>
      <w:docGrid w:linePitch="28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SimHei">
    <w:altName w:val="SimSun"/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Arial,Bold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inherit">
    <w:altName w:val="Microsoft YaHei"/>
    <w:panose1 w:val="00000000000000000000"/>
    <w:charset w:val="01"/>
    <w:family w:val="auto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-BoldMT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4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name="index 1"/>
    <w:lsdException w:unhideWhenUsed="0" w:uiPriority="0" w:name="index 2"/>
    <w:lsdException w:unhideWhenUsed="0" w:uiPriority="0" w:name="index 3"/>
    <w:lsdException w:unhideWhenUsed="0" w:uiPriority="0" w:name="index 4"/>
    <w:lsdException w:unhideWhenUsed="0" w:uiPriority="0" w:name="index 5"/>
    <w:lsdException w:unhideWhenUsed="0" w:uiPriority="0" w:name="index 6"/>
    <w:lsdException w:unhideWhenUsed="0" w:uiPriority="0" w:name="index 7"/>
    <w:lsdException w:unhideWhenUsed="0" w:uiPriority="0" w:name="index 8"/>
    <w:lsdException w:unhideWhenUsed="0" w:uiPriority="0" w:name="index 9"/>
    <w:lsdException w:unhideWhenUsed="0" w:uiPriority="0" w:name="toc 1"/>
    <w:lsdException w:unhideWhenUsed="0" w:uiPriority="0" w:name="toc 2"/>
    <w:lsdException w:unhideWhenUsed="0" w:uiPriority="0" w:name="toc 3"/>
    <w:lsdException w:unhideWhenUsed="0" w:uiPriority="0" w:name="toc 4"/>
    <w:lsdException w:unhideWhenUsed="0" w:uiPriority="0" w:name="toc 5"/>
    <w:lsdException w:unhideWhenUsed="0" w:uiPriority="0" w:name="toc 6"/>
    <w:lsdException w:unhideWhenUsed="0" w:uiPriority="0" w:name="toc 7"/>
    <w:lsdException w:unhideWhenUsed="0" w:uiPriority="0" w:name="toc 8"/>
    <w:lsdException w:unhideWhenUsed="0" w:uiPriority="0" w:name="toc 9"/>
    <w:lsdException w:unhideWhenUsed="0" w:uiPriority="0" w:semiHidden="0" w:name="Normal Indent"/>
    <w:lsdException w:unhideWhenUsed="0" w:uiPriority="0" w:name="footnote text"/>
    <w:lsdException w:unhideWhenUsed="0" w:uiPriority="0" w:name="annotation text"/>
    <w:lsdException w:unhideWhenUsed="0" w:uiPriority="0" w:semiHidden="0" w:name="header"/>
    <w:lsdException w:unhideWhenUsed="0" w:uiPriority="0" w:semiHidden="0" w:name="footer"/>
    <w:lsdException w:unhideWhenUsed="0" w:uiPriority="0" w:name="index heading"/>
    <w:lsdException w:unhideWhenUsed="0" w:uiPriority="0" w:name="caption"/>
    <w:lsdException w:unhideWhenUsed="0" w:uiPriority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name="endnote reference"/>
    <w:lsdException w:unhideWhenUsed="0" w:uiPriority="0" w:name="endnote text"/>
    <w:lsdException w:unhideWhenUsed="0" w:uiPriority="0" w:name="table of authorities"/>
    <w:lsdException w:unhideWhenUsed="0" w:uiPriority="0" w:name="macro"/>
    <w:lsdException w:unhideWhenUsed="0" w:uiPriority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annotation subject"/>
    <w:lsdException w:unhideWhenUsed="0" w:uiPriority="0" w:name="Balloon Text"/>
  </w:latentStyles>
  <w:style w:type="paragraph" w:default="1" w:styleId="1">
    <w:name w:val="Normal"/>
    <w:uiPriority w:val="0"/>
    <w:pPr>
      <w:jc w:val="both"/>
    </w:pPr>
    <w:rPr>
      <w:rFonts w:ascii="Times New Roman" w:hAnsi="Times New Roman" w:eastAsia="SimSun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0"/>
    </w:pPr>
    <w:rPr>
      <w:rFonts w:ascii="Arial" w:hAnsi="Arial"/>
      <w:b/>
      <w:kern w:val="44"/>
      <w:sz w:val="32"/>
    </w:rPr>
  </w:style>
  <w:style w:type="paragraph" w:styleId="3">
    <w:name w:val="heading 2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1"/>
    </w:pPr>
    <w:rPr>
      <w:rFonts w:ascii="Arial" w:hAnsi="Arial"/>
      <w:b/>
      <w:i/>
      <w:sz w:val="28"/>
    </w:rPr>
  </w:style>
  <w:style w:type="paragraph" w:styleId="4">
    <w:name w:val="heading 3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2"/>
    </w:pPr>
    <w:rPr>
      <w:rFonts w:ascii="Arial" w:hAnsi="Arial"/>
      <w:b/>
      <w:sz w:val="26"/>
    </w:rPr>
  </w:style>
  <w:style w:type="paragraph" w:styleId="5">
    <w:name w:val="heading 4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3"/>
    </w:pPr>
    <w:rPr>
      <w:rFonts w:ascii="Times New Roman" w:hAnsi="Times New Roman"/>
      <w:b/>
      <w:sz w:val="28"/>
    </w:rPr>
  </w:style>
  <w:style w:type="paragraph" w:styleId="6">
    <w:name w:val="heading 5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4"/>
    </w:pPr>
    <w:rPr>
      <w:b/>
      <w:i/>
      <w:sz w:val="26"/>
    </w:rPr>
  </w:style>
  <w:style w:type="paragraph" w:styleId="7">
    <w:name w:val="heading 6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5"/>
    </w:pPr>
    <w:rPr>
      <w:rFonts w:ascii="Times New Roman" w:hAnsi="Times New Roman"/>
      <w:b/>
      <w:sz w:val="22"/>
    </w:rPr>
  </w:style>
  <w:style w:type="paragraph" w:styleId="8">
    <w:name w:val="heading 7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6"/>
    </w:pPr>
    <w:rPr>
      <w:sz w:val="24"/>
    </w:rPr>
  </w:style>
  <w:style w:type="paragraph" w:styleId="9">
    <w:name w:val="heading 8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7"/>
    </w:pPr>
    <w:rPr>
      <w:rFonts w:ascii="Times New Roman" w:hAnsi="Times New Roman"/>
      <w:i/>
      <w:sz w:val="24"/>
    </w:rPr>
  </w:style>
  <w:style w:type="paragraph" w:styleId="10">
    <w:name w:val="heading 9"/>
    <w:basedOn w:val="1"/>
    <w:next w:val="1"/>
    <w:uiPriority w:val="0"/>
    <w:pPr>
      <w:keepNext/>
      <w:keepLines/>
      <w:spacing w:before="240" w:beforeAutospacing="0" w:after="60" w:afterAutospacing="0" w:line="240" w:lineRule="auto"/>
      <w:outlineLvl w:val="8"/>
    </w:pPr>
    <w:rPr>
      <w:rFonts w:ascii="Arial" w:hAnsi="Arial"/>
      <w:sz w:val="22"/>
    </w:rPr>
  </w:style>
  <w:style w:type="character" w:default="1" w:styleId="13">
    <w:name w:val="Default Paragraph Font"/>
    <w:uiPriority w:val="0"/>
  </w:style>
  <w:style w:type="paragraph" w:styleId="11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Pages>1</Pages>
  <Words>0</Words>
  <Characters>0</Characters>
  <Lines>1</Lines>
  <Paragraphs>1</Paragraphs>
  <ScaleCrop>false</ScaleCrop>
  <LinksUpToDate>false</LinksUpToDate>
  <CharactersWithSpaces>0</CharactersWithSpaces>
  <Application>Kingsoft Office_9.1.0.4550_{F1E327BC-269C-435d-A152-05C5408002CA}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2010-05-06T13:11:00Z</dcterms:created>
  <dc:creator>Malcolm Percy</dc:creator>
  <cp:lastModifiedBy>Malcolm Percy</cp:lastModifiedBy>
  <cp:lastPrinted>2411-12-30T00:00:00Z</cp:lastPrinted>
  <dcterms:modified xsi:type="dcterms:W3CDTF">2025-04-28T16:08:37Z</dcterms:modified>
  <dc:title>Green Belt Statement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1033-9.1.0.4550</vt:lpwstr>
  </property>
</Properties>
</file>