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1724A4" w14:textId="1DBABCAE" w:rsidR="00A80E1F" w:rsidRPr="00A80E1F" w:rsidRDefault="00A80E1F" w:rsidP="00A80E1F">
      <w:pPr>
        <w:jc w:val="center"/>
        <w:rPr>
          <w:rFonts w:asciiTheme="minorHAnsi" w:eastAsia="ArialMT" w:hAnsiTheme="minorHAnsi" w:cs="ArialMT"/>
          <w:b/>
          <w:bCs/>
          <w:color w:val="000000"/>
          <w:sz w:val="24"/>
          <w:szCs w:val="24"/>
        </w:rPr>
      </w:pPr>
      <w:r w:rsidRPr="00A80E1F">
        <w:rPr>
          <w:rFonts w:asciiTheme="minorHAnsi" w:eastAsia="ArialMT" w:hAnsiTheme="minorHAnsi" w:cs="ArialMT"/>
          <w:b/>
          <w:bCs/>
          <w:color w:val="000000"/>
          <w:sz w:val="24"/>
          <w:szCs w:val="24"/>
        </w:rPr>
        <w:t>Land off Damson Green/Baytree Lane, Middleton, M24 2UL</w:t>
      </w:r>
    </w:p>
    <w:p w14:paraId="2F0083FD" w14:textId="4280B605" w:rsidR="00A80E1F" w:rsidRPr="00A80E1F" w:rsidRDefault="00086C6D" w:rsidP="00A80E1F">
      <w:pPr>
        <w:jc w:val="center"/>
        <w:rPr>
          <w:rFonts w:asciiTheme="minorHAnsi" w:hAnsiTheme="minorHAnsi"/>
          <w:color w:val="000000"/>
          <w:sz w:val="24"/>
          <w:szCs w:val="24"/>
        </w:rPr>
      </w:pPr>
      <w:r>
        <w:rPr>
          <w:rFonts w:asciiTheme="minorHAnsi" w:eastAsia="ArialMT" w:hAnsiTheme="minorHAnsi" w:cs="ArialMT"/>
          <w:b/>
          <w:bCs/>
          <w:color w:val="000000"/>
          <w:sz w:val="24"/>
          <w:szCs w:val="24"/>
        </w:rPr>
        <w:t>Substituted</w:t>
      </w:r>
      <w:r w:rsidR="00A80E1F" w:rsidRPr="00A80E1F">
        <w:rPr>
          <w:rFonts w:asciiTheme="minorHAnsi" w:eastAsia="ArialMT" w:hAnsiTheme="minorHAnsi" w:cs="ArialMT"/>
          <w:b/>
          <w:bCs/>
          <w:color w:val="000000"/>
          <w:sz w:val="24"/>
          <w:szCs w:val="24"/>
        </w:rPr>
        <w:t xml:space="preserve"> Affordable Housing S</w:t>
      </w:r>
      <w:r w:rsidR="00735182">
        <w:rPr>
          <w:rFonts w:asciiTheme="minorHAnsi" w:eastAsia="ArialMT" w:hAnsiTheme="minorHAnsi" w:cs="ArialMT"/>
          <w:b/>
          <w:bCs/>
          <w:color w:val="000000"/>
          <w:sz w:val="24"/>
          <w:szCs w:val="24"/>
        </w:rPr>
        <w:t>tatement</w:t>
      </w:r>
      <w:r w:rsidR="00A80E1F" w:rsidRPr="00A80E1F">
        <w:rPr>
          <w:rFonts w:asciiTheme="minorHAnsi" w:eastAsia="ArialMT" w:hAnsiTheme="minorHAnsi" w:cs="ArialMT"/>
          <w:b/>
          <w:bCs/>
          <w:color w:val="000000"/>
          <w:sz w:val="24"/>
          <w:szCs w:val="24"/>
        </w:rPr>
        <w:t xml:space="preserve"> </w:t>
      </w:r>
    </w:p>
    <w:p w14:paraId="51C8827E" w14:textId="77777777" w:rsidR="00A80E1F" w:rsidRPr="00A80E1F" w:rsidRDefault="00A80E1F" w:rsidP="00A80E1F">
      <w:pPr>
        <w:rPr>
          <w:rFonts w:asciiTheme="minorHAnsi" w:hAnsiTheme="minorHAnsi"/>
        </w:rPr>
      </w:pPr>
    </w:p>
    <w:p w14:paraId="48706623" w14:textId="1760E039" w:rsidR="00A80E1F" w:rsidRPr="00735182" w:rsidRDefault="00A80E1F" w:rsidP="00735182">
      <w:pPr>
        <w:pStyle w:val="ListParagraph"/>
        <w:numPr>
          <w:ilvl w:val="0"/>
          <w:numId w:val="10"/>
        </w:numPr>
        <w:rPr>
          <w:rFonts w:asciiTheme="minorHAnsi" w:hAnsiTheme="minorHAnsi"/>
          <w:color w:val="000000"/>
          <w:sz w:val="22"/>
          <w:szCs w:val="22"/>
        </w:rPr>
      </w:pPr>
      <w:r w:rsidRPr="00735182">
        <w:rPr>
          <w:rFonts w:asciiTheme="minorHAnsi" w:hAnsiTheme="minorHAnsi"/>
          <w:color w:val="000000"/>
          <w:sz w:val="22"/>
          <w:szCs w:val="22"/>
        </w:rPr>
        <w:t>Condition 3 of planning permission 24/00306/FUL requires that:</w:t>
      </w:r>
    </w:p>
    <w:p w14:paraId="1B0B3850" w14:textId="77777777" w:rsidR="00A80E1F" w:rsidRPr="00A80E1F" w:rsidRDefault="00A80E1F" w:rsidP="00A80E1F">
      <w:pPr>
        <w:rPr>
          <w:rFonts w:asciiTheme="minorHAnsi" w:hAnsiTheme="minorHAnsi"/>
          <w:color w:val="000000"/>
          <w:sz w:val="22"/>
          <w:szCs w:val="22"/>
        </w:rPr>
      </w:pPr>
    </w:p>
    <w:p w14:paraId="3C994D28" w14:textId="4BB0AC3B" w:rsidR="00A80E1F" w:rsidRPr="00A80E1F" w:rsidRDefault="00A80E1F" w:rsidP="00735182">
      <w:pPr>
        <w:ind w:left="1080"/>
        <w:rPr>
          <w:rFonts w:asciiTheme="minorHAnsi" w:hAnsiTheme="minorHAnsi"/>
          <w:color w:val="000000"/>
          <w:sz w:val="22"/>
          <w:szCs w:val="22"/>
        </w:rPr>
      </w:pPr>
      <w:r w:rsidRPr="009E74A9">
        <w:rPr>
          <w:rFonts w:asciiTheme="minorHAnsi" w:hAnsiTheme="minorHAnsi"/>
          <w:i/>
          <w:iCs/>
          <w:color w:val="000000"/>
          <w:sz w:val="22"/>
          <w:szCs w:val="22"/>
        </w:rPr>
        <w:t>The development hereby approved shall be implemented in full accordance with the</w:t>
      </w:r>
      <w:r>
        <w:rPr>
          <w:rFonts w:asciiTheme="minorHAnsi" w:hAnsiTheme="minorHAnsi"/>
          <w:i/>
          <w:iCs/>
          <w:color w:val="000000"/>
          <w:sz w:val="22"/>
          <w:szCs w:val="22"/>
        </w:rPr>
        <w:t xml:space="preserve"> </w:t>
      </w:r>
      <w:r w:rsidRPr="009E74A9">
        <w:rPr>
          <w:rFonts w:asciiTheme="minorHAnsi" w:hAnsiTheme="minorHAnsi"/>
          <w:i/>
          <w:iCs/>
          <w:color w:val="000000"/>
          <w:sz w:val="22"/>
          <w:szCs w:val="22"/>
        </w:rPr>
        <w:t>Affordable Housing Statement (Planning Application Statement of Support from First</w:t>
      </w:r>
      <w:r>
        <w:rPr>
          <w:rFonts w:asciiTheme="minorHAnsi" w:hAnsiTheme="minorHAnsi"/>
          <w:i/>
          <w:iCs/>
          <w:color w:val="000000"/>
          <w:sz w:val="22"/>
          <w:szCs w:val="22"/>
        </w:rPr>
        <w:t xml:space="preserve"> </w:t>
      </w:r>
      <w:r w:rsidRPr="009E74A9">
        <w:rPr>
          <w:rFonts w:asciiTheme="minorHAnsi" w:hAnsiTheme="minorHAnsi"/>
          <w:i/>
          <w:iCs/>
          <w:color w:val="000000"/>
          <w:sz w:val="22"/>
          <w:szCs w:val="22"/>
        </w:rPr>
        <w:t>Choice Homes Oldham). The affordable homes shall be retained in such occupation</w:t>
      </w:r>
      <w:r>
        <w:rPr>
          <w:rFonts w:asciiTheme="minorHAnsi" w:hAnsiTheme="minorHAnsi"/>
          <w:i/>
          <w:iCs/>
          <w:color w:val="000000"/>
          <w:sz w:val="22"/>
          <w:szCs w:val="22"/>
        </w:rPr>
        <w:t xml:space="preserve"> </w:t>
      </w:r>
      <w:r w:rsidRPr="00A80E1F">
        <w:rPr>
          <w:rFonts w:asciiTheme="minorHAnsi" w:hAnsiTheme="minorHAnsi"/>
          <w:i/>
          <w:iCs/>
          <w:color w:val="000000"/>
          <w:sz w:val="22"/>
          <w:szCs w:val="22"/>
        </w:rPr>
        <w:t>thereafter.</w:t>
      </w:r>
    </w:p>
    <w:p w14:paraId="6031BF29" w14:textId="77777777" w:rsidR="00A80E1F" w:rsidRPr="00A80E1F" w:rsidRDefault="00A80E1F" w:rsidP="00A80E1F">
      <w:pPr>
        <w:rPr>
          <w:rFonts w:asciiTheme="minorHAnsi" w:hAnsiTheme="minorHAnsi"/>
          <w:color w:val="000000"/>
          <w:sz w:val="22"/>
          <w:szCs w:val="22"/>
        </w:rPr>
      </w:pPr>
    </w:p>
    <w:p w14:paraId="6F7F7A9B" w14:textId="44F4CE01" w:rsidR="00A80E1F" w:rsidRPr="00735182" w:rsidRDefault="00C90EFB" w:rsidP="00735182">
      <w:pPr>
        <w:pStyle w:val="ListParagraph"/>
        <w:numPr>
          <w:ilvl w:val="0"/>
          <w:numId w:val="10"/>
        </w:numPr>
        <w:rPr>
          <w:rFonts w:asciiTheme="minorHAnsi" w:hAnsiTheme="minorHAnsi"/>
          <w:color w:val="000000"/>
          <w:sz w:val="22"/>
          <w:szCs w:val="22"/>
        </w:rPr>
      </w:pPr>
      <w:r>
        <w:rPr>
          <w:rFonts w:asciiTheme="minorHAnsi" w:hAnsiTheme="minorHAnsi"/>
          <w:color w:val="000000"/>
          <w:sz w:val="22"/>
          <w:szCs w:val="22"/>
        </w:rPr>
        <w:t>P</w:t>
      </w:r>
      <w:r w:rsidRPr="00735182">
        <w:rPr>
          <w:rFonts w:asciiTheme="minorHAnsi" w:hAnsiTheme="minorHAnsi"/>
          <w:color w:val="000000"/>
          <w:sz w:val="22"/>
          <w:szCs w:val="22"/>
        </w:rPr>
        <w:t xml:space="preserve">ursuant to the non-material amendment application with reference: </w:t>
      </w:r>
      <w:r w:rsidRPr="00735182">
        <w:rPr>
          <w:rFonts w:asciiTheme="minorHAnsi" w:hAnsiTheme="minorHAnsi"/>
          <w:color w:val="000000"/>
          <w:sz w:val="22"/>
          <w:szCs w:val="22"/>
          <w:highlight w:val="yellow"/>
        </w:rPr>
        <w:t>[ ]</w:t>
      </w:r>
      <w:r>
        <w:rPr>
          <w:rFonts w:asciiTheme="minorHAnsi" w:hAnsiTheme="minorHAnsi"/>
          <w:color w:val="000000"/>
          <w:sz w:val="22"/>
          <w:szCs w:val="22"/>
        </w:rPr>
        <w:t>, t</w:t>
      </w:r>
      <w:r w:rsidR="00A80E1F" w:rsidRPr="00735182">
        <w:rPr>
          <w:rFonts w:asciiTheme="minorHAnsi" w:hAnsiTheme="minorHAnsi"/>
          <w:color w:val="000000"/>
          <w:sz w:val="22"/>
          <w:szCs w:val="22"/>
        </w:rPr>
        <w:t xml:space="preserve">his Affordable Housing Statement is </w:t>
      </w:r>
      <w:r w:rsidR="00086C6D">
        <w:rPr>
          <w:rFonts w:asciiTheme="minorHAnsi" w:hAnsiTheme="minorHAnsi"/>
          <w:color w:val="000000"/>
          <w:sz w:val="22"/>
          <w:szCs w:val="22"/>
        </w:rPr>
        <w:t>to substitute and replace the</w:t>
      </w:r>
      <w:r w:rsidR="00A80E1F" w:rsidRPr="00735182">
        <w:rPr>
          <w:rFonts w:asciiTheme="minorHAnsi" w:hAnsiTheme="minorHAnsi"/>
          <w:color w:val="000000"/>
          <w:sz w:val="22"/>
          <w:szCs w:val="22"/>
        </w:rPr>
        <w:t xml:space="preserve"> ‘</w:t>
      </w:r>
      <w:r w:rsidRPr="00C90EFB">
        <w:rPr>
          <w:rFonts w:asciiTheme="minorHAnsi" w:hAnsiTheme="minorHAnsi"/>
          <w:i/>
          <w:iCs/>
          <w:color w:val="000000"/>
          <w:sz w:val="22"/>
          <w:szCs w:val="22"/>
        </w:rPr>
        <w:t>Affordable Housing Statement (</w:t>
      </w:r>
      <w:r w:rsidR="00A80E1F" w:rsidRPr="00C90EFB">
        <w:rPr>
          <w:rFonts w:asciiTheme="minorHAnsi" w:hAnsiTheme="minorHAnsi"/>
          <w:i/>
          <w:iCs/>
          <w:color w:val="000000"/>
          <w:sz w:val="22"/>
          <w:szCs w:val="22"/>
        </w:rPr>
        <w:t>Planning Application Statement of Support from First Choice Homes Oldham</w:t>
      </w:r>
      <w:r>
        <w:rPr>
          <w:rFonts w:asciiTheme="minorHAnsi" w:hAnsiTheme="minorHAnsi"/>
          <w:i/>
          <w:iCs/>
          <w:color w:val="000000"/>
          <w:sz w:val="22"/>
          <w:szCs w:val="22"/>
        </w:rPr>
        <w:t>)</w:t>
      </w:r>
      <w:r w:rsidR="00A80E1F" w:rsidRPr="00735182">
        <w:rPr>
          <w:rFonts w:asciiTheme="minorHAnsi" w:hAnsiTheme="minorHAnsi"/>
          <w:color w:val="000000"/>
          <w:sz w:val="22"/>
          <w:szCs w:val="22"/>
        </w:rPr>
        <w:t>’</w:t>
      </w:r>
      <w:r>
        <w:rPr>
          <w:rFonts w:asciiTheme="minorHAnsi" w:hAnsiTheme="minorHAnsi"/>
          <w:color w:val="000000"/>
          <w:sz w:val="22"/>
          <w:szCs w:val="22"/>
        </w:rPr>
        <w:t xml:space="preserve"> referred to within condition 3 </w:t>
      </w:r>
      <w:r w:rsidRPr="00735182">
        <w:rPr>
          <w:rFonts w:asciiTheme="minorHAnsi" w:hAnsiTheme="minorHAnsi"/>
          <w:color w:val="000000"/>
          <w:sz w:val="22"/>
          <w:szCs w:val="22"/>
        </w:rPr>
        <w:t>planning permission 24/00306/FUL</w:t>
      </w:r>
      <w:r w:rsidR="00B80D9B" w:rsidRPr="00735182">
        <w:rPr>
          <w:rFonts w:asciiTheme="minorHAnsi" w:hAnsiTheme="minorHAnsi"/>
          <w:color w:val="000000"/>
          <w:sz w:val="22"/>
          <w:szCs w:val="22"/>
        </w:rPr>
        <w:t>.</w:t>
      </w:r>
    </w:p>
    <w:p w14:paraId="088F9009" w14:textId="77777777" w:rsidR="00A80E1F" w:rsidRPr="00A80E1F" w:rsidRDefault="00A80E1F" w:rsidP="00A80E1F">
      <w:pPr>
        <w:rPr>
          <w:rFonts w:asciiTheme="minorHAnsi" w:hAnsiTheme="minorHAnsi"/>
          <w:color w:val="000000"/>
          <w:sz w:val="22"/>
          <w:szCs w:val="22"/>
        </w:rPr>
      </w:pPr>
    </w:p>
    <w:p w14:paraId="06956956" w14:textId="5B85161F" w:rsidR="00A80E1F" w:rsidRPr="00735182" w:rsidRDefault="00A80E1F" w:rsidP="00735182">
      <w:pPr>
        <w:pStyle w:val="ListParagraph"/>
        <w:numPr>
          <w:ilvl w:val="0"/>
          <w:numId w:val="10"/>
        </w:numPr>
        <w:rPr>
          <w:rFonts w:asciiTheme="minorHAnsi" w:hAnsiTheme="minorHAnsi"/>
          <w:b/>
          <w:bCs/>
          <w:color w:val="000000"/>
          <w:sz w:val="22"/>
          <w:szCs w:val="22"/>
          <w:u w:val="single"/>
        </w:rPr>
      </w:pPr>
      <w:r w:rsidRPr="00735182">
        <w:rPr>
          <w:rFonts w:asciiTheme="minorHAnsi" w:hAnsiTheme="minorHAnsi"/>
          <w:b/>
          <w:bCs/>
          <w:color w:val="000000"/>
          <w:sz w:val="22"/>
          <w:szCs w:val="22"/>
          <w:u w:val="single"/>
        </w:rPr>
        <w:t>Definitions:</w:t>
      </w:r>
    </w:p>
    <w:p w14:paraId="4B004946" w14:textId="411F232F" w:rsidR="00735182" w:rsidRDefault="00735182" w:rsidP="000B552E">
      <w:pPr>
        <w:ind w:left="720"/>
        <w:rPr>
          <w:rFonts w:asciiTheme="minorHAnsi" w:hAnsiTheme="minorHAnsi"/>
          <w:b/>
          <w:bCs/>
          <w:color w:val="000000"/>
          <w:sz w:val="22"/>
          <w:szCs w:val="22"/>
        </w:rPr>
      </w:pPr>
      <w:r>
        <w:rPr>
          <w:rFonts w:asciiTheme="minorHAnsi" w:hAnsiTheme="minorHAnsi"/>
          <w:b/>
          <w:bCs/>
          <w:color w:val="000000"/>
          <w:sz w:val="22"/>
          <w:szCs w:val="22"/>
        </w:rPr>
        <w:t xml:space="preserve">Affordable Housing: </w:t>
      </w:r>
      <w:r w:rsidRPr="00735182">
        <w:rPr>
          <w:rFonts w:asciiTheme="minorHAnsi" w:hAnsiTheme="minorHAnsi"/>
          <w:color w:val="000000"/>
          <w:sz w:val="22"/>
          <w:szCs w:val="22"/>
        </w:rPr>
        <w:t xml:space="preserve">means </w:t>
      </w:r>
      <w:r w:rsidR="000B552E">
        <w:rPr>
          <w:rFonts w:asciiTheme="minorHAnsi" w:hAnsiTheme="minorHAnsi"/>
          <w:color w:val="000000"/>
          <w:sz w:val="22"/>
          <w:szCs w:val="22"/>
        </w:rPr>
        <w:t>the use of the Unit</w:t>
      </w:r>
      <w:r w:rsidR="00086C6D">
        <w:rPr>
          <w:rFonts w:asciiTheme="minorHAnsi" w:hAnsiTheme="minorHAnsi"/>
          <w:color w:val="000000"/>
          <w:sz w:val="22"/>
          <w:szCs w:val="22"/>
        </w:rPr>
        <w:t>s</w:t>
      </w:r>
      <w:r w:rsidR="000B552E">
        <w:rPr>
          <w:rFonts w:asciiTheme="minorHAnsi" w:hAnsiTheme="minorHAnsi"/>
          <w:color w:val="000000"/>
          <w:sz w:val="22"/>
          <w:szCs w:val="22"/>
        </w:rPr>
        <w:t xml:space="preserve"> as </w:t>
      </w:r>
      <w:r w:rsidRPr="00735182">
        <w:rPr>
          <w:rFonts w:asciiTheme="minorHAnsi" w:hAnsiTheme="minorHAnsi"/>
          <w:color w:val="000000"/>
          <w:sz w:val="22"/>
          <w:szCs w:val="22"/>
        </w:rPr>
        <w:t>Affordable Rent</w:t>
      </w:r>
      <w:r>
        <w:rPr>
          <w:rFonts w:asciiTheme="minorHAnsi" w:hAnsiTheme="minorHAnsi"/>
          <w:color w:val="000000"/>
          <w:sz w:val="22"/>
          <w:szCs w:val="22"/>
        </w:rPr>
        <w:t>, Social Rent</w:t>
      </w:r>
      <w:r w:rsidRPr="00735182">
        <w:rPr>
          <w:rFonts w:asciiTheme="minorHAnsi" w:hAnsiTheme="minorHAnsi"/>
          <w:color w:val="000000"/>
          <w:sz w:val="22"/>
          <w:szCs w:val="22"/>
        </w:rPr>
        <w:t xml:space="preserve"> and/or Shared Ownership</w:t>
      </w:r>
      <w:r w:rsidR="000B552E">
        <w:rPr>
          <w:rFonts w:asciiTheme="minorHAnsi" w:hAnsiTheme="minorHAnsi"/>
          <w:color w:val="000000"/>
          <w:sz w:val="22"/>
          <w:szCs w:val="22"/>
        </w:rPr>
        <w:t xml:space="preserve"> in such mix as FCHO shall determine in their absolute discretion</w:t>
      </w:r>
      <w:r w:rsidRPr="00735182">
        <w:rPr>
          <w:rFonts w:asciiTheme="minorHAnsi" w:hAnsiTheme="minorHAnsi"/>
          <w:color w:val="000000"/>
          <w:sz w:val="22"/>
          <w:szCs w:val="22"/>
        </w:rPr>
        <w:t>.</w:t>
      </w:r>
    </w:p>
    <w:p w14:paraId="7AA568B5" w14:textId="77777777" w:rsidR="00735182" w:rsidRDefault="00735182" w:rsidP="00A80E1F">
      <w:pPr>
        <w:rPr>
          <w:rFonts w:asciiTheme="minorHAnsi" w:hAnsiTheme="minorHAnsi"/>
          <w:b/>
          <w:bCs/>
          <w:color w:val="000000"/>
          <w:sz w:val="22"/>
          <w:szCs w:val="22"/>
        </w:rPr>
      </w:pPr>
    </w:p>
    <w:p w14:paraId="1249DF79" w14:textId="3697FA00" w:rsidR="00A80E1F" w:rsidRPr="00A80E1F" w:rsidRDefault="00A80E1F" w:rsidP="00735182">
      <w:pPr>
        <w:ind w:left="720"/>
        <w:rPr>
          <w:rFonts w:asciiTheme="minorHAnsi" w:hAnsiTheme="minorHAnsi"/>
          <w:color w:val="000000"/>
          <w:sz w:val="22"/>
          <w:szCs w:val="22"/>
        </w:rPr>
      </w:pPr>
      <w:r w:rsidRPr="00A80E1F">
        <w:rPr>
          <w:rFonts w:asciiTheme="minorHAnsi" w:hAnsiTheme="minorHAnsi"/>
          <w:b/>
          <w:bCs/>
          <w:color w:val="000000"/>
          <w:sz w:val="22"/>
          <w:szCs w:val="22"/>
        </w:rPr>
        <w:t>Affordable Rent:</w:t>
      </w:r>
      <w:r w:rsidRPr="00A80E1F">
        <w:rPr>
          <w:rFonts w:asciiTheme="minorHAnsi" w:hAnsiTheme="minorHAnsi"/>
          <w:color w:val="000000"/>
          <w:sz w:val="22"/>
          <w:szCs w:val="22"/>
        </w:rPr>
        <w:t xml:space="preserve"> means a rent of no more than 80% of local market rent (including service charges, where applicable) or at rental levels that accord with any measure of rental affordability published from time to time by HM Government or Homes England (or any successor body responsible for affordable housing) or the Regulator of Social Housing</w:t>
      </w:r>
      <w:r w:rsidR="00735182">
        <w:rPr>
          <w:rFonts w:asciiTheme="minorHAnsi" w:hAnsiTheme="minorHAnsi"/>
          <w:color w:val="000000"/>
          <w:sz w:val="22"/>
          <w:szCs w:val="22"/>
        </w:rPr>
        <w:t>.</w:t>
      </w:r>
    </w:p>
    <w:p w14:paraId="370EE565" w14:textId="77777777" w:rsidR="00A80E1F" w:rsidRPr="00A80E1F" w:rsidRDefault="00A80E1F" w:rsidP="00A80E1F">
      <w:pPr>
        <w:rPr>
          <w:rFonts w:asciiTheme="minorHAnsi" w:hAnsiTheme="minorHAnsi"/>
          <w:color w:val="000000"/>
          <w:sz w:val="22"/>
          <w:szCs w:val="22"/>
        </w:rPr>
      </w:pPr>
    </w:p>
    <w:p w14:paraId="5183359F" w14:textId="77777777" w:rsidR="00A80E1F" w:rsidRDefault="00A80E1F" w:rsidP="00735182">
      <w:pPr>
        <w:ind w:left="720"/>
        <w:rPr>
          <w:rFonts w:asciiTheme="minorHAnsi" w:hAnsiTheme="minorHAnsi"/>
          <w:color w:val="000000"/>
          <w:sz w:val="22"/>
          <w:szCs w:val="22"/>
        </w:rPr>
      </w:pPr>
      <w:r w:rsidRPr="00A80E1F">
        <w:rPr>
          <w:rFonts w:asciiTheme="minorHAnsi" w:hAnsiTheme="minorHAnsi"/>
          <w:b/>
          <w:bCs/>
          <w:color w:val="000000"/>
          <w:sz w:val="22"/>
          <w:szCs w:val="22"/>
        </w:rPr>
        <w:t>Shared Ownership:</w:t>
      </w:r>
      <w:r w:rsidRPr="00A80E1F">
        <w:rPr>
          <w:rFonts w:asciiTheme="minorHAnsi" w:hAnsiTheme="minorHAnsi"/>
          <w:color w:val="000000"/>
          <w:sz w:val="22"/>
          <w:szCs w:val="22"/>
        </w:rPr>
        <w:t xml:space="preserve"> means the purchase on a shared equity basis whereby not more than 75% and not less than 10% of the equity is initially sold to the purchaser with the flexibility to increase their degree of Ownership to 100% if they so wish.</w:t>
      </w:r>
    </w:p>
    <w:p w14:paraId="518A315E" w14:textId="77777777" w:rsidR="00735182" w:rsidRDefault="00735182" w:rsidP="00735182">
      <w:pPr>
        <w:ind w:left="720"/>
        <w:rPr>
          <w:rFonts w:asciiTheme="minorHAnsi" w:hAnsiTheme="minorHAnsi"/>
          <w:color w:val="000000"/>
          <w:sz w:val="22"/>
          <w:szCs w:val="22"/>
        </w:rPr>
      </w:pPr>
    </w:p>
    <w:p w14:paraId="0FE0938A" w14:textId="482D64A3" w:rsidR="00735182" w:rsidRDefault="00735182" w:rsidP="00735182">
      <w:pPr>
        <w:ind w:left="720"/>
        <w:rPr>
          <w:rFonts w:asciiTheme="minorHAnsi" w:hAnsiTheme="minorHAnsi"/>
          <w:color w:val="000000"/>
          <w:sz w:val="22"/>
          <w:szCs w:val="22"/>
        </w:rPr>
      </w:pPr>
      <w:r w:rsidRPr="00735182">
        <w:rPr>
          <w:rFonts w:asciiTheme="minorHAnsi" w:hAnsiTheme="minorHAnsi"/>
          <w:b/>
          <w:bCs/>
          <w:color w:val="000000"/>
          <w:sz w:val="22"/>
          <w:szCs w:val="22"/>
        </w:rPr>
        <w:t>Social Rent:</w:t>
      </w:r>
      <w:r>
        <w:rPr>
          <w:rFonts w:asciiTheme="minorHAnsi" w:hAnsiTheme="minorHAnsi"/>
          <w:color w:val="000000"/>
          <w:sz w:val="22"/>
          <w:szCs w:val="22"/>
        </w:rPr>
        <w:t xml:space="preserve"> means </w:t>
      </w:r>
      <w:r w:rsidR="000B552E">
        <w:rPr>
          <w:rFonts w:asciiTheme="minorHAnsi" w:hAnsiTheme="minorHAnsi"/>
          <w:color w:val="000000"/>
          <w:sz w:val="22"/>
          <w:szCs w:val="22"/>
        </w:rPr>
        <w:t>a rent based upon guideline target rent regime based on the guidance and formulae set by Homes England on social rents and through the Welfare Reform and Work Act 2016 and the Social Housing Rent (Exceptions and Miscellaneous Provisions) Regulations 2016.</w:t>
      </w:r>
    </w:p>
    <w:p w14:paraId="72DB350D" w14:textId="77777777" w:rsidR="00735182" w:rsidRDefault="00735182" w:rsidP="00735182">
      <w:pPr>
        <w:ind w:left="720"/>
        <w:rPr>
          <w:rFonts w:asciiTheme="minorHAnsi" w:hAnsiTheme="minorHAnsi"/>
          <w:color w:val="000000"/>
          <w:sz w:val="22"/>
          <w:szCs w:val="22"/>
        </w:rPr>
      </w:pPr>
    </w:p>
    <w:p w14:paraId="600A94FB" w14:textId="51D2AF74" w:rsidR="00735182" w:rsidRPr="00735182" w:rsidRDefault="00735182" w:rsidP="00735182">
      <w:pPr>
        <w:ind w:left="720"/>
        <w:rPr>
          <w:rFonts w:asciiTheme="minorHAnsi" w:hAnsiTheme="minorHAnsi"/>
          <w:color w:val="000000"/>
          <w:sz w:val="22"/>
          <w:szCs w:val="22"/>
        </w:rPr>
      </w:pPr>
      <w:r w:rsidRPr="00735182">
        <w:rPr>
          <w:rFonts w:asciiTheme="minorHAnsi" w:hAnsiTheme="minorHAnsi"/>
          <w:b/>
          <w:bCs/>
          <w:color w:val="000000"/>
          <w:sz w:val="22"/>
          <w:szCs w:val="22"/>
        </w:rPr>
        <w:t>Units:</w:t>
      </w:r>
      <w:r>
        <w:rPr>
          <w:rFonts w:asciiTheme="minorHAnsi" w:hAnsiTheme="minorHAnsi"/>
          <w:color w:val="000000"/>
          <w:sz w:val="22"/>
          <w:szCs w:val="22"/>
        </w:rPr>
        <w:t xml:space="preserve"> means the units constructed at </w:t>
      </w:r>
      <w:r w:rsidRPr="00735182">
        <w:rPr>
          <w:rFonts w:asciiTheme="minorHAnsi" w:hAnsiTheme="minorHAnsi"/>
          <w:color w:val="000000"/>
          <w:sz w:val="22"/>
          <w:szCs w:val="22"/>
        </w:rPr>
        <w:t>Land off Damson Green/Baytree Lane, Middleton, M24 2UL pursuant to planning permission 24/00306/FUL</w:t>
      </w:r>
      <w:r>
        <w:rPr>
          <w:rFonts w:asciiTheme="minorHAnsi" w:hAnsiTheme="minorHAnsi"/>
          <w:color w:val="000000"/>
          <w:sz w:val="22"/>
          <w:szCs w:val="22"/>
        </w:rPr>
        <w:t xml:space="preserve"> as varied.</w:t>
      </w:r>
    </w:p>
    <w:p w14:paraId="549D60D9" w14:textId="77777777" w:rsidR="00A80E1F" w:rsidRPr="00A80E1F" w:rsidRDefault="00A80E1F" w:rsidP="00A80E1F">
      <w:pPr>
        <w:rPr>
          <w:rFonts w:asciiTheme="minorHAnsi" w:hAnsiTheme="minorHAnsi"/>
          <w:color w:val="000000"/>
          <w:sz w:val="22"/>
          <w:szCs w:val="22"/>
        </w:rPr>
      </w:pPr>
    </w:p>
    <w:p w14:paraId="4FCFDF5A" w14:textId="5BC92708" w:rsidR="00735182" w:rsidRDefault="00A80E1F" w:rsidP="00735182">
      <w:pPr>
        <w:pStyle w:val="ListParagraph"/>
        <w:numPr>
          <w:ilvl w:val="0"/>
          <w:numId w:val="10"/>
        </w:numPr>
        <w:rPr>
          <w:rFonts w:asciiTheme="minorHAnsi" w:hAnsiTheme="minorHAnsi"/>
          <w:color w:val="000000"/>
          <w:sz w:val="22"/>
          <w:szCs w:val="22"/>
        </w:rPr>
      </w:pPr>
      <w:r w:rsidRPr="00735182">
        <w:rPr>
          <w:rFonts w:asciiTheme="minorHAnsi" w:hAnsiTheme="minorHAnsi"/>
          <w:color w:val="000000"/>
          <w:sz w:val="22"/>
          <w:szCs w:val="22"/>
        </w:rPr>
        <w:t xml:space="preserve">The </w:t>
      </w:r>
      <w:r w:rsidR="00735182">
        <w:rPr>
          <w:rFonts w:asciiTheme="minorHAnsi" w:hAnsiTheme="minorHAnsi"/>
          <w:color w:val="000000"/>
          <w:sz w:val="22"/>
          <w:szCs w:val="22"/>
        </w:rPr>
        <w:t>Units</w:t>
      </w:r>
      <w:r w:rsidRPr="00735182">
        <w:rPr>
          <w:rFonts w:asciiTheme="minorHAnsi" w:hAnsiTheme="minorHAnsi"/>
          <w:color w:val="000000"/>
          <w:sz w:val="22"/>
          <w:szCs w:val="22"/>
        </w:rPr>
        <w:t xml:space="preserve"> will be owned and managed by First Choice Homes Oldham Limited (“FCHO”)</w:t>
      </w:r>
      <w:r w:rsidR="00735182">
        <w:rPr>
          <w:rFonts w:asciiTheme="minorHAnsi" w:hAnsiTheme="minorHAnsi"/>
          <w:color w:val="000000"/>
          <w:sz w:val="22"/>
          <w:szCs w:val="22"/>
        </w:rPr>
        <w:t xml:space="preserve"> and s</w:t>
      </w:r>
      <w:r w:rsidR="00735182" w:rsidRPr="00735182">
        <w:rPr>
          <w:rFonts w:asciiTheme="minorHAnsi" w:hAnsiTheme="minorHAnsi"/>
          <w:color w:val="000000"/>
          <w:sz w:val="22"/>
          <w:szCs w:val="22"/>
        </w:rPr>
        <w:t xml:space="preserve">ubject to paragraph </w:t>
      </w:r>
      <w:r w:rsidR="00735182">
        <w:rPr>
          <w:rFonts w:asciiTheme="minorHAnsi" w:hAnsiTheme="minorHAnsi"/>
          <w:color w:val="000000"/>
          <w:sz w:val="22"/>
          <w:szCs w:val="22"/>
        </w:rPr>
        <w:t>6</w:t>
      </w:r>
      <w:r w:rsidR="00735182" w:rsidRPr="00735182">
        <w:rPr>
          <w:rFonts w:asciiTheme="minorHAnsi" w:hAnsiTheme="minorHAnsi"/>
          <w:color w:val="000000"/>
          <w:sz w:val="22"/>
          <w:szCs w:val="22"/>
        </w:rPr>
        <w:t xml:space="preserve"> below, </w:t>
      </w:r>
      <w:r w:rsidRPr="00735182">
        <w:rPr>
          <w:rFonts w:asciiTheme="minorHAnsi" w:hAnsiTheme="minorHAnsi"/>
          <w:color w:val="000000"/>
          <w:sz w:val="22"/>
          <w:szCs w:val="22"/>
        </w:rPr>
        <w:t xml:space="preserve">FCHO will ensure the </w:t>
      </w:r>
      <w:r w:rsidR="00735182">
        <w:rPr>
          <w:rFonts w:asciiTheme="minorHAnsi" w:hAnsiTheme="minorHAnsi"/>
          <w:color w:val="000000"/>
          <w:sz w:val="22"/>
          <w:szCs w:val="22"/>
        </w:rPr>
        <w:t>U</w:t>
      </w:r>
      <w:r w:rsidRPr="00735182">
        <w:rPr>
          <w:rFonts w:asciiTheme="minorHAnsi" w:hAnsiTheme="minorHAnsi"/>
          <w:color w:val="000000"/>
          <w:sz w:val="22"/>
          <w:szCs w:val="22"/>
        </w:rPr>
        <w:t xml:space="preserve">nits will be used </w:t>
      </w:r>
      <w:r w:rsidR="00735182" w:rsidRPr="00735182">
        <w:rPr>
          <w:rFonts w:asciiTheme="minorHAnsi" w:hAnsiTheme="minorHAnsi"/>
          <w:color w:val="000000"/>
          <w:sz w:val="22"/>
          <w:szCs w:val="22"/>
        </w:rPr>
        <w:t>as Affordable Housing</w:t>
      </w:r>
      <w:r w:rsidR="00735182">
        <w:rPr>
          <w:rFonts w:asciiTheme="minorHAnsi" w:hAnsiTheme="minorHAnsi"/>
          <w:color w:val="000000"/>
          <w:sz w:val="22"/>
          <w:szCs w:val="22"/>
        </w:rPr>
        <w:t>.</w:t>
      </w:r>
    </w:p>
    <w:p w14:paraId="64B1034A" w14:textId="77777777" w:rsidR="00735182" w:rsidRDefault="00735182" w:rsidP="00735182">
      <w:pPr>
        <w:pStyle w:val="ListParagraph"/>
        <w:rPr>
          <w:rFonts w:asciiTheme="minorHAnsi" w:hAnsiTheme="minorHAnsi"/>
          <w:color w:val="000000"/>
          <w:sz w:val="22"/>
          <w:szCs w:val="22"/>
        </w:rPr>
      </w:pPr>
    </w:p>
    <w:p w14:paraId="7C25DDC2" w14:textId="32B978D7" w:rsidR="00735182" w:rsidRDefault="00735182" w:rsidP="00735182">
      <w:pPr>
        <w:pStyle w:val="ListParagraph"/>
        <w:numPr>
          <w:ilvl w:val="0"/>
          <w:numId w:val="10"/>
        </w:numPr>
        <w:rPr>
          <w:rFonts w:asciiTheme="minorHAnsi" w:hAnsiTheme="minorHAnsi"/>
          <w:color w:val="000000"/>
          <w:sz w:val="22"/>
          <w:szCs w:val="22"/>
        </w:rPr>
      </w:pPr>
      <w:r>
        <w:rPr>
          <w:rFonts w:asciiTheme="minorHAnsi" w:hAnsiTheme="minorHAnsi"/>
          <w:color w:val="000000"/>
          <w:sz w:val="22"/>
          <w:szCs w:val="22"/>
        </w:rPr>
        <w:t xml:space="preserve">Nothing in this </w:t>
      </w:r>
      <w:r w:rsidR="00086C6D">
        <w:rPr>
          <w:rFonts w:asciiTheme="minorHAnsi" w:hAnsiTheme="minorHAnsi"/>
          <w:color w:val="000000"/>
          <w:sz w:val="22"/>
          <w:szCs w:val="22"/>
        </w:rPr>
        <w:t>Substitute</w:t>
      </w:r>
      <w:r>
        <w:rPr>
          <w:rFonts w:asciiTheme="minorHAnsi" w:hAnsiTheme="minorHAnsi"/>
          <w:color w:val="000000"/>
          <w:sz w:val="22"/>
          <w:szCs w:val="22"/>
        </w:rPr>
        <w:t xml:space="preserve"> Affordable Housing Statement shall prevent FCHO from altering the tenure (including by not limited to </w:t>
      </w:r>
      <w:r w:rsidRPr="00A80E1F">
        <w:rPr>
          <w:rFonts w:asciiTheme="minorHAnsi" w:hAnsiTheme="minorHAnsi"/>
          <w:color w:val="000000"/>
          <w:sz w:val="22"/>
          <w:szCs w:val="22"/>
        </w:rPr>
        <w:t>Affordable Rent to Shared Ownership in the event an occupier of an Affordable Rent unit exercises a right to shared ownership pursuant to the requirements of Capital Funding Guide</w:t>
      </w:r>
      <w:r>
        <w:rPr>
          <w:rFonts w:asciiTheme="minorHAnsi" w:hAnsiTheme="minorHAnsi"/>
          <w:color w:val="000000"/>
          <w:sz w:val="22"/>
          <w:szCs w:val="22"/>
        </w:rPr>
        <w:t xml:space="preserve"> PROVIDED THAT the Units are used as Affordable Housing, subject to the provisions of paragraph 6 below.</w:t>
      </w:r>
    </w:p>
    <w:p w14:paraId="4BC5C74F" w14:textId="77777777" w:rsidR="00A80E1F" w:rsidRPr="00735182" w:rsidRDefault="00A80E1F" w:rsidP="00735182">
      <w:pPr>
        <w:rPr>
          <w:rFonts w:asciiTheme="minorHAnsi" w:hAnsiTheme="minorHAnsi"/>
          <w:color w:val="000000"/>
          <w:sz w:val="22"/>
          <w:szCs w:val="22"/>
        </w:rPr>
      </w:pPr>
    </w:p>
    <w:p w14:paraId="33C9F1CA" w14:textId="592E502D" w:rsidR="00A80E1F" w:rsidRPr="00735182" w:rsidRDefault="00A80E1F" w:rsidP="00735182">
      <w:pPr>
        <w:pStyle w:val="ListParagraph"/>
        <w:numPr>
          <w:ilvl w:val="0"/>
          <w:numId w:val="10"/>
        </w:numPr>
        <w:rPr>
          <w:rFonts w:asciiTheme="minorHAnsi" w:hAnsiTheme="minorHAnsi"/>
          <w:color w:val="000000"/>
          <w:sz w:val="22"/>
          <w:szCs w:val="22"/>
        </w:rPr>
      </w:pPr>
      <w:r w:rsidRPr="00735182">
        <w:rPr>
          <w:rFonts w:asciiTheme="minorHAnsi" w:hAnsiTheme="minorHAnsi"/>
          <w:color w:val="000000"/>
          <w:sz w:val="22"/>
          <w:szCs w:val="22"/>
        </w:rPr>
        <w:t>This S</w:t>
      </w:r>
      <w:r w:rsidR="00086C6D">
        <w:rPr>
          <w:rFonts w:asciiTheme="minorHAnsi" w:hAnsiTheme="minorHAnsi"/>
          <w:color w:val="000000"/>
          <w:sz w:val="22"/>
          <w:szCs w:val="22"/>
        </w:rPr>
        <w:t>ubstitute</w:t>
      </w:r>
      <w:r w:rsidRPr="00735182">
        <w:rPr>
          <w:rFonts w:asciiTheme="minorHAnsi" w:hAnsiTheme="minorHAnsi"/>
          <w:color w:val="000000"/>
          <w:sz w:val="22"/>
          <w:szCs w:val="22"/>
        </w:rPr>
        <w:t xml:space="preserve"> Affordable Housing Statement shall not be binding or enforceable against:</w:t>
      </w:r>
    </w:p>
    <w:p w14:paraId="42242A2A" w14:textId="4AF7AB14" w:rsid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 mortgagee or charge (or any receiver, including an administrative receiver) or manager appointed by such mortgagee or charge or any person appointed under any security documentation to enable such mortgagee or charge to realise its security or any administrator (howsoever appointed) including a housing administrator (each a </w:t>
      </w:r>
      <w:r w:rsidRPr="00A80E1F">
        <w:rPr>
          <w:rFonts w:asciiTheme="minorHAnsi" w:hAnsiTheme="minorHAnsi"/>
          <w:color w:val="000000"/>
          <w:sz w:val="22"/>
          <w:szCs w:val="22"/>
        </w:rPr>
        <w:lastRenderedPageBreak/>
        <w:t>“</w:t>
      </w:r>
      <w:r w:rsidRPr="00A80E1F">
        <w:rPr>
          <w:rFonts w:asciiTheme="minorHAnsi" w:hAnsiTheme="minorHAnsi"/>
          <w:b/>
          <w:bCs/>
          <w:color w:val="000000"/>
          <w:sz w:val="22"/>
          <w:szCs w:val="22"/>
        </w:rPr>
        <w:t>Receiver”</w:t>
      </w:r>
      <w:r w:rsidRPr="00A80E1F">
        <w:rPr>
          <w:rFonts w:asciiTheme="minorHAnsi" w:hAnsiTheme="minorHAnsi"/>
          <w:color w:val="000000"/>
          <w:sz w:val="22"/>
          <w:szCs w:val="22"/>
        </w:rPr>
        <w:t>) of the whole or any part of the Affordable Housing Units (the “</w:t>
      </w:r>
      <w:r w:rsidRPr="00A80E1F">
        <w:rPr>
          <w:rFonts w:asciiTheme="minorHAnsi" w:hAnsiTheme="minorHAnsi"/>
          <w:b/>
          <w:bCs/>
          <w:color w:val="000000"/>
          <w:sz w:val="22"/>
          <w:szCs w:val="22"/>
        </w:rPr>
        <w:t>Mortgagee</w:t>
      </w:r>
      <w:r w:rsidRPr="00A80E1F">
        <w:rPr>
          <w:rFonts w:asciiTheme="minorHAnsi" w:hAnsiTheme="minorHAnsi"/>
          <w:color w:val="000000"/>
          <w:sz w:val="22"/>
          <w:szCs w:val="22"/>
        </w:rPr>
        <w:t>”) whether or not the Mortgagee has gone into possession of a property</w:t>
      </w:r>
      <w:r>
        <w:rPr>
          <w:rFonts w:asciiTheme="minorHAnsi" w:hAnsiTheme="minorHAnsi"/>
          <w:color w:val="000000"/>
          <w:sz w:val="22"/>
          <w:szCs w:val="22"/>
        </w:rPr>
        <w:t>;</w:t>
      </w:r>
    </w:p>
    <w:p w14:paraId="3E0D3569" w14:textId="59F7778B" w:rsidR="00A80E1F" w:rsidRP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a tenant who has exercised a statutory right to acquire or right to buy by way of a purchase grant or like scheme or any mortgagee or chargee of such tenant or any receiver appointed by such mortgagee or chargee (including administrative receivers);</w:t>
      </w:r>
    </w:p>
    <w:p w14:paraId="1BC6C634" w14:textId="671A1CB0" w:rsid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an occupier who has purchased 100% of the equity of a Shared Ownership </w:t>
      </w:r>
      <w:r w:rsidR="000B552E">
        <w:rPr>
          <w:rFonts w:asciiTheme="minorHAnsi" w:hAnsiTheme="minorHAnsi"/>
          <w:color w:val="000000"/>
          <w:sz w:val="22"/>
          <w:szCs w:val="22"/>
        </w:rPr>
        <w:t>unit</w:t>
      </w:r>
      <w:r w:rsidRPr="00A80E1F">
        <w:rPr>
          <w:rFonts w:asciiTheme="minorHAnsi" w:hAnsiTheme="minorHAnsi"/>
          <w:color w:val="000000"/>
          <w:sz w:val="22"/>
          <w:szCs w:val="22"/>
        </w:rPr>
        <w:t xml:space="preserve"> following the exercise of </w:t>
      </w:r>
      <w:r w:rsidR="000B552E">
        <w:rPr>
          <w:rFonts w:asciiTheme="minorHAnsi" w:hAnsiTheme="minorHAnsi"/>
          <w:color w:val="000000"/>
          <w:sz w:val="22"/>
          <w:szCs w:val="22"/>
        </w:rPr>
        <w:t>s</w:t>
      </w:r>
      <w:r w:rsidRPr="00A80E1F">
        <w:rPr>
          <w:rFonts w:asciiTheme="minorHAnsi" w:hAnsiTheme="minorHAnsi"/>
          <w:color w:val="000000"/>
          <w:sz w:val="22"/>
          <w:szCs w:val="22"/>
        </w:rPr>
        <w:t xml:space="preserve">taircasing rights or any mortgagee or chargee of such </w:t>
      </w:r>
      <w:r w:rsidR="000B552E">
        <w:rPr>
          <w:rFonts w:asciiTheme="minorHAnsi" w:hAnsiTheme="minorHAnsi"/>
          <w:color w:val="000000"/>
          <w:sz w:val="22"/>
          <w:szCs w:val="22"/>
        </w:rPr>
        <w:t>o</w:t>
      </w:r>
      <w:r w:rsidRPr="00A80E1F">
        <w:rPr>
          <w:rFonts w:asciiTheme="minorHAnsi" w:hAnsiTheme="minorHAnsi"/>
          <w:color w:val="000000"/>
          <w:sz w:val="22"/>
          <w:szCs w:val="22"/>
        </w:rPr>
        <w:t xml:space="preserve">ccupier or any receiver appointed by such mortgagee or chargee (including administrative receivers); </w:t>
      </w:r>
    </w:p>
    <w:p w14:paraId="59DE83BA" w14:textId="14A876B2" w:rsidR="00A80E1F" w:rsidRP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any successors in title to the above at </w:t>
      </w:r>
      <w:r>
        <w:rPr>
          <w:rFonts w:asciiTheme="minorHAnsi" w:hAnsiTheme="minorHAnsi"/>
          <w:color w:val="000000"/>
          <w:sz w:val="22"/>
          <w:szCs w:val="22"/>
        </w:rPr>
        <w:t>a), b) or c).</w:t>
      </w:r>
    </w:p>
    <w:sectPr w:rsidR="00A80E1F" w:rsidRPr="00A80E1F" w:rsidSect="00B80D9B">
      <w:pgSz w:w="11906" w:h="16838"/>
      <w:pgMar w:top="1361" w:right="1361" w:bottom="136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M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FFFFFFFF">
      <w:start w:val="1"/>
      <w:numFmt w:val="lowerLetter"/>
      <w:lvlText w:val="%1)"/>
      <w:lvlJc w:val="left"/>
      <w:pPr>
        <w:ind w:left="0" w:firstLine="0"/>
      </w:pPr>
      <w:rPr>
        <w:rFonts w:ascii="Arial" w:eastAsia="Arial" w:hAnsi="Arial" w:cs="Arial"/>
        <w:b w:val="0"/>
        <w:bCs w:val="0"/>
        <w:i w:val="0"/>
        <w:iCs w:val="0"/>
        <w:smallCaps w:val="0"/>
        <w:color w:val="000000"/>
        <w:sz w:val="24"/>
        <w:szCs w:val="24"/>
        <w:lang w:val="en-GB" w:eastAsia="en-GB" w:bidi="ar-SA"/>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FFFFFFFF">
      <w:start w:val="4"/>
      <w:numFmt w:val="lowerLetter"/>
      <w:lvlText w:val="%1)"/>
      <w:lvlJc w:val="left"/>
      <w:pPr>
        <w:ind w:left="0" w:firstLine="0"/>
      </w:pPr>
      <w:rPr>
        <w:rFonts w:ascii="Arial" w:eastAsia="Arial" w:hAnsi="Arial" w:cs="Arial"/>
        <w:b w:val="0"/>
        <w:bCs w:val="0"/>
        <w:i w:val="0"/>
        <w:iCs w:val="0"/>
        <w:smallCaps w:val="0"/>
        <w:color w:val="000000"/>
        <w:sz w:val="24"/>
        <w:szCs w:val="24"/>
        <w:lang w:val="en-GB" w:eastAsia="en-GB" w:bidi="ar-SA"/>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154A5C46"/>
    <w:multiLevelType w:val="multilevel"/>
    <w:tmpl w:val="C97AE9BE"/>
    <w:lvl w:ilvl="0">
      <w:start w:val="1"/>
      <w:numFmt w:val="decimal"/>
      <w:pStyle w:val="Schedule"/>
      <w:lvlText w:val="%1"/>
      <w:lvlJc w:val="center"/>
      <w:pPr>
        <w:tabs>
          <w:tab w:val="num" w:pos="0"/>
        </w:tabs>
        <w:ind w:left="0" w:firstLine="0"/>
      </w:pPr>
      <w:rPr>
        <w:vanish/>
        <w:webHidden w:val="0"/>
        <w:color w:val="FFFFFF"/>
        <w:specVanish w:val="0"/>
      </w:rPr>
    </w:lvl>
    <w:lvl w:ilvl="1">
      <w:start w:val="2"/>
      <w:numFmt w:val="decimal"/>
      <w:isLgl/>
      <w:lvlText w:val="%1.%2"/>
      <w:lvlJc w:val="left"/>
      <w:pPr>
        <w:ind w:left="1443" w:hanging="735"/>
      </w:pPr>
      <w:rPr>
        <w:rFonts w:eastAsia="Times New Roman"/>
      </w:rPr>
    </w:lvl>
    <w:lvl w:ilvl="2">
      <w:start w:val="1"/>
      <w:numFmt w:val="decimal"/>
      <w:isLgl/>
      <w:lvlText w:val="%1.%2.%3"/>
      <w:lvlJc w:val="left"/>
      <w:pPr>
        <w:ind w:left="2153" w:hanging="735"/>
      </w:pPr>
      <w:rPr>
        <w:rFonts w:eastAsia="Times New Roman"/>
      </w:rPr>
    </w:lvl>
    <w:lvl w:ilvl="3">
      <w:start w:val="1"/>
      <w:numFmt w:val="decimal"/>
      <w:isLgl/>
      <w:lvlText w:val="%1.%2.%3.%4"/>
      <w:lvlJc w:val="left"/>
      <w:pPr>
        <w:ind w:left="2862" w:hanging="735"/>
      </w:pPr>
      <w:rPr>
        <w:rFonts w:eastAsia="Times New Roman"/>
      </w:rPr>
    </w:lvl>
    <w:lvl w:ilvl="4">
      <w:start w:val="1"/>
      <w:numFmt w:val="decimal"/>
      <w:isLgl/>
      <w:lvlText w:val="%1.%2.%3.%4.%5"/>
      <w:lvlJc w:val="left"/>
      <w:pPr>
        <w:ind w:left="3571" w:hanging="735"/>
      </w:pPr>
      <w:rPr>
        <w:rFonts w:eastAsia="Times New Roman"/>
      </w:rPr>
    </w:lvl>
    <w:lvl w:ilvl="5">
      <w:start w:val="1"/>
      <w:numFmt w:val="decimal"/>
      <w:isLgl/>
      <w:lvlText w:val="%1.%2.%3.%4.%5.%6"/>
      <w:lvlJc w:val="left"/>
      <w:pPr>
        <w:ind w:left="4625" w:hanging="1080"/>
      </w:pPr>
      <w:rPr>
        <w:rFonts w:eastAsia="Times New Roman"/>
      </w:rPr>
    </w:lvl>
    <w:lvl w:ilvl="6">
      <w:start w:val="1"/>
      <w:numFmt w:val="decimal"/>
      <w:isLgl/>
      <w:lvlText w:val="%1.%2.%3.%4.%5.%6.%7"/>
      <w:lvlJc w:val="left"/>
      <w:pPr>
        <w:ind w:left="5334" w:hanging="1080"/>
      </w:pPr>
      <w:rPr>
        <w:rFonts w:eastAsia="Times New Roman"/>
      </w:rPr>
    </w:lvl>
    <w:lvl w:ilvl="7">
      <w:start w:val="1"/>
      <w:numFmt w:val="decimal"/>
      <w:isLgl/>
      <w:lvlText w:val="%1.%2.%3.%4.%5.%6.%7.%8"/>
      <w:lvlJc w:val="left"/>
      <w:pPr>
        <w:ind w:left="6403" w:hanging="1440"/>
      </w:pPr>
      <w:rPr>
        <w:rFonts w:eastAsia="Times New Roman"/>
      </w:rPr>
    </w:lvl>
    <w:lvl w:ilvl="8">
      <w:start w:val="1"/>
      <w:numFmt w:val="decimal"/>
      <w:isLgl/>
      <w:lvlText w:val="%1.%2.%3.%4.%5.%6.%7.%8.%9"/>
      <w:lvlJc w:val="left"/>
      <w:pPr>
        <w:ind w:left="7112" w:hanging="1440"/>
      </w:pPr>
      <w:rPr>
        <w:rFonts w:eastAsia="Times New Roman"/>
      </w:rPr>
    </w:lvl>
  </w:abstractNum>
  <w:abstractNum w:abstractNumId="4" w15:restartNumberingAfterBreak="0">
    <w:nsid w:val="1A5567FD"/>
    <w:multiLevelType w:val="hybridMultilevel"/>
    <w:tmpl w:val="909894B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1511D83"/>
    <w:multiLevelType w:val="hybridMultilevel"/>
    <w:tmpl w:val="C966F8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787184"/>
    <w:multiLevelType w:val="multilevel"/>
    <w:tmpl w:val="EC10CAD8"/>
    <w:lvl w:ilvl="0">
      <w:start w:val="1"/>
      <w:numFmt w:val="decimal"/>
      <w:pStyle w:val="Level1"/>
      <w:lvlText w:val="%1."/>
      <w:lvlJc w:val="left"/>
      <w:pPr>
        <w:tabs>
          <w:tab w:val="num" w:pos="851"/>
        </w:tabs>
        <w:ind w:left="851" w:hanging="851"/>
      </w:pPr>
      <w:rPr>
        <w:rFonts w:hint="default"/>
        <w:b w:val="0"/>
        <w:i w:val="0"/>
        <w:strike w:val="0"/>
        <w:dstrike w:val="0"/>
        <w:u w:val="none"/>
        <w:effect w:val="none"/>
      </w:rPr>
    </w:lvl>
    <w:lvl w:ilvl="1">
      <w:start w:val="1"/>
      <w:numFmt w:val="decimal"/>
      <w:pStyle w:val="Level2"/>
      <w:lvlText w:val="%1.%2"/>
      <w:lvlJc w:val="left"/>
      <w:pPr>
        <w:tabs>
          <w:tab w:val="num" w:pos="851"/>
        </w:tabs>
        <w:ind w:left="851" w:hanging="851"/>
      </w:pPr>
      <w:rPr>
        <w:rFonts w:hint="default"/>
        <w:b w:val="0"/>
        <w:i w:val="0"/>
        <w:strike w:val="0"/>
        <w:dstrike w:val="0"/>
        <w:u w:val="none"/>
        <w:effect w:val="none"/>
      </w:rPr>
    </w:lvl>
    <w:lvl w:ilvl="2">
      <w:start w:val="1"/>
      <w:numFmt w:val="decimal"/>
      <w:pStyle w:val="Level3"/>
      <w:lvlText w:val="%1.%2.%3"/>
      <w:lvlJc w:val="left"/>
      <w:pPr>
        <w:tabs>
          <w:tab w:val="num" w:pos="1843"/>
        </w:tabs>
        <w:ind w:left="1843" w:hanging="992"/>
      </w:pPr>
      <w:rPr>
        <w:rFonts w:hint="default"/>
        <w:b w:val="0"/>
        <w:i w:val="0"/>
        <w:strike w:val="0"/>
        <w:dstrike w:val="0"/>
        <w:u w:val="none"/>
        <w:effect w:val="none"/>
      </w:rPr>
    </w:lvl>
    <w:lvl w:ilvl="3">
      <w:start w:val="1"/>
      <w:numFmt w:val="decimal"/>
      <w:pStyle w:val="Level4"/>
      <w:lvlText w:val="%1.%2.%3.%4"/>
      <w:lvlJc w:val="left"/>
      <w:pPr>
        <w:tabs>
          <w:tab w:val="num" w:pos="3119"/>
        </w:tabs>
        <w:ind w:left="3119" w:hanging="1276"/>
      </w:pPr>
      <w:rPr>
        <w:rFonts w:hint="default"/>
        <w:b w:val="0"/>
        <w:i w:val="0"/>
        <w:strike w:val="0"/>
        <w:dstrike w:val="0"/>
        <w:u w:val="none"/>
        <w:effect w:val="none"/>
      </w:rPr>
    </w:lvl>
    <w:lvl w:ilvl="4">
      <w:start w:val="1"/>
      <w:numFmt w:val="lowerLetter"/>
      <w:pStyle w:val="Level5"/>
      <w:lvlText w:val="(%5)"/>
      <w:lvlJc w:val="left"/>
      <w:pPr>
        <w:tabs>
          <w:tab w:val="num" w:pos="3119"/>
        </w:tabs>
        <w:ind w:left="3119" w:hanging="1276"/>
      </w:pPr>
      <w:rPr>
        <w:rFonts w:hint="default"/>
        <w:b w:val="0"/>
        <w:i w:val="0"/>
        <w:strike w:val="0"/>
        <w:dstrike w:val="0"/>
        <w:u w:val="none"/>
        <w:effect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7" w15:restartNumberingAfterBreak="0">
    <w:nsid w:val="6EA73D55"/>
    <w:multiLevelType w:val="hybridMultilevel"/>
    <w:tmpl w:val="4892687A"/>
    <w:lvl w:ilvl="0" w:tplc="08090017">
      <w:start w:val="1"/>
      <w:numFmt w:val="lowerLetter"/>
      <w:lvlText w:val="%1)"/>
      <w:lvlJc w:val="left"/>
      <w:pPr>
        <w:ind w:left="2163" w:hanging="360"/>
      </w:pPr>
    </w:lvl>
    <w:lvl w:ilvl="1" w:tplc="08090019" w:tentative="1">
      <w:start w:val="1"/>
      <w:numFmt w:val="lowerLetter"/>
      <w:lvlText w:val="%2."/>
      <w:lvlJc w:val="left"/>
      <w:pPr>
        <w:ind w:left="2883" w:hanging="360"/>
      </w:pPr>
    </w:lvl>
    <w:lvl w:ilvl="2" w:tplc="0809001B" w:tentative="1">
      <w:start w:val="1"/>
      <w:numFmt w:val="lowerRoman"/>
      <w:lvlText w:val="%3."/>
      <w:lvlJc w:val="right"/>
      <w:pPr>
        <w:ind w:left="3603" w:hanging="180"/>
      </w:pPr>
    </w:lvl>
    <w:lvl w:ilvl="3" w:tplc="0809000F" w:tentative="1">
      <w:start w:val="1"/>
      <w:numFmt w:val="decimal"/>
      <w:lvlText w:val="%4."/>
      <w:lvlJc w:val="left"/>
      <w:pPr>
        <w:ind w:left="4323" w:hanging="360"/>
      </w:pPr>
    </w:lvl>
    <w:lvl w:ilvl="4" w:tplc="08090019" w:tentative="1">
      <w:start w:val="1"/>
      <w:numFmt w:val="lowerLetter"/>
      <w:lvlText w:val="%5."/>
      <w:lvlJc w:val="left"/>
      <w:pPr>
        <w:ind w:left="5043" w:hanging="360"/>
      </w:pPr>
    </w:lvl>
    <w:lvl w:ilvl="5" w:tplc="0809001B" w:tentative="1">
      <w:start w:val="1"/>
      <w:numFmt w:val="lowerRoman"/>
      <w:lvlText w:val="%6."/>
      <w:lvlJc w:val="right"/>
      <w:pPr>
        <w:ind w:left="5763" w:hanging="180"/>
      </w:pPr>
    </w:lvl>
    <w:lvl w:ilvl="6" w:tplc="0809000F" w:tentative="1">
      <w:start w:val="1"/>
      <w:numFmt w:val="decimal"/>
      <w:lvlText w:val="%7."/>
      <w:lvlJc w:val="left"/>
      <w:pPr>
        <w:ind w:left="6483" w:hanging="360"/>
      </w:pPr>
    </w:lvl>
    <w:lvl w:ilvl="7" w:tplc="08090019" w:tentative="1">
      <w:start w:val="1"/>
      <w:numFmt w:val="lowerLetter"/>
      <w:lvlText w:val="%8."/>
      <w:lvlJc w:val="left"/>
      <w:pPr>
        <w:ind w:left="7203" w:hanging="360"/>
      </w:pPr>
    </w:lvl>
    <w:lvl w:ilvl="8" w:tplc="0809001B" w:tentative="1">
      <w:start w:val="1"/>
      <w:numFmt w:val="lowerRoman"/>
      <w:lvlText w:val="%9."/>
      <w:lvlJc w:val="right"/>
      <w:pPr>
        <w:ind w:left="7923" w:hanging="180"/>
      </w:pPr>
    </w:lvl>
  </w:abstractNum>
  <w:abstractNum w:abstractNumId="8" w15:restartNumberingAfterBreak="0">
    <w:nsid w:val="7A2652FA"/>
    <w:multiLevelType w:val="hybridMultilevel"/>
    <w:tmpl w:val="13FC318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7387084">
    <w:abstractNumId w:val="0"/>
  </w:num>
  <w:num w:numId="2" w16cid:durableId="1740010051">
    <w:abstractNumId w:val="1"/>
  </w:num>
  <w:num w:numId="3" w16cid:durableId="35566426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408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210338">
    <w:abstractNumId w:val="6"/>
  </w:num>
  <w:num w:numId="6" w16cid:durableId="759564408">
    <w:abstractNumId w:val="2"/>
  </w:num>
  <w:num w:numId="7" w16cid:durableId="1365861315">
    <w:abstractNumId w:val="7"/>
  </w:num>
  <w:num w:numId="8" w16cid:durableId="1262910503">
    <w:abstractNumId w:val="4"/>
  </w:num>
  <w:num w:numId="9" w16cid:durableId="195240081">
    <w:abstractNumId w:val="8"/>
  </w:num>
  <w:num w:numId="10" w16cid:durableId="255604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E1F"/>
    <w:rsid w:val="00086C6D"/>
    <w:rsid w:val="000B552E"/>
    <w:rsid w:val="00334349"/>
    <w:rsid w:val="005B4402"/>
    <w:rsid w:val="00735182"/>
    <w:rsid w:val="009A0893"/>
    <w:rsid w:val="00A80E1F"/>
    <w:rsid w:val="00B80D9B"/>
    <w:rsid w:val="00C90EFB"/>
    <w:rsid w:val="00EA3EB2"/>
    <w:rsid w:val="00FD3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06565"/>
  <w15:chartTrackingRefBased/>
  <w15:docId w15:val="{FE01894F-FA87-42E2-A2EB-ABD1E423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E1F"/>
    <w:pPr>
      <w:spacing w:after="0" w:line="240" w:lineRule="auto"/>
      <w:jc w:val="both"/>
    </w:pPr>
    <w:rPr>
      <w:rFonts w:ascii="Arial" w:eastAsia="Arial" w:hAnsi="Arial" w:cs="Arial"/>
      <w:kern w:val="0"/>
      <w:sz w:val="20"/>
      <w:szCs w:val="20"/>
      <w:lang w:eastAsia="en-GB"/>
      <w14:ligatures w14:val="none"/>
    </w:rPr>
  </w:style>
  <w:style w:type="paragraph" w:styleId="Heading1">
    <w:name w:val="heading 1"/>
    <w:basedOn w:val="Normal"/>
    <w:next w:val="Normal"/>
    <w:link w:val="Heading1Char"/>
    <w:uiPriority w:val="9"/>
    <w:qFormat/>
    <w:rsid w:val="00A80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E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E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E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E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E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E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E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E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E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E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E1F"/>
    <w:rPr>
      <w:rFonts w:eastAsiaTheme="majorEastAsia" w:cstheme="majorBidi"/>
      <w:color w:val="272727" w:themeColor="text1" w:themeTint="D8"/>
    </w:rPr>
  </w:style>
  <w:style w:type="paragraph" w:styleId="Title">
    <w:name w:val="Title"/>
    <w:basedOn w:val="Normal"/>
    <w:next w:val="Normal"/>
    <w:link w:val="TitleChar"/>
    <w:uiPriority w:val="10"/>
    <w:qFormat/>
    <w:rsid w:val="00A80E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E1F"/>
    <w:pPr>
      <w:spacing w:before="160"/>
      <w:jc w:val="center"/>
    </w:pPr>
    <w:rPr>
      <w:i/>
      <w:iCs/>
      <w:color w:val="404040" w:themeColor="text1" w:themeTint="BF"/>
    </w:rPr>
  </w:style>
  <w:style w:type="character" w:customStyle="1" w:styleId="QuoteChar">
    <w:name w:val="Quote Char"/>
    <w:basedOn w:val="DefaultParagraphFont"/>
    <w:link w:val="Quote"/>
    <w:uiPriority w:val="29"/>
    <w:rsid w:val="00A80E1F"/>
    <w:rPr>
      <w:i/>
      <w:iCs/>
      <w:color w:val="404040" w:themeColor="text1" w:themeTint="BF"/>
    </w:rPr>
  </w:style>
  <w:style w:type="paragraph" w:styleId="ListParagraph">
    <w:name w:val="List Paragraph"/>
    <w:basedOn w:val="Normal"/>
    <w:uiPriority w:val="99"/>
    <w:qFormat/>
    <w:rsid w:val="00A80E1F"/>
    <w:pPr>
      <w:ind w:left="720"/>
      <w:contextualSpacing/>
    </w:pPr>
  </w:style>
  <w:style w:type="character" w:styleId="IntenseEmphasis">
    <w:name w:val="Intense Emphasis"/>
    <w:basedOn w:val="DefaultParagraphFont"/>
    <w:uiPriority w:val="21"/>
    <w:qFormat/>
    <w:rsid w:val="00A80E1F"/>
    <w:rPr>
      <w:i/>
      <w:iCs/>
      <w:color w:val="0F4761" w:themeColor="accent1" w:themeShade="BF"/>
    </w:rPr>
  </w:style>
  <w:style w:type="paragraph" w:styleId="IntenseQuote">
    <w:name w:val="Intense Quote"/>
    <w:basedOn w:val="Normal"/>
    <w:next w:val="Normal"/>
    <w:link w:val="IntenseQuoteChar"/>
    <w:uiPriority w:val="30"/>
    <w:qFormat/>
    <w:rsid w:val="00A80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E1F"/>
    <w:rPr>
      <w:i/>
      <w:iCs/>
      <w:color w:val="0F4761" w:themeColor="accent1" w:themeShade="BF"/>
    </w:rPr>
  </w:style>
  <w:style w:type="character" w:styleId="IntenseReference">
    <w:name w:val="Intense Reference"/>
    <w:basedOn w:val="DefaultParagraphFont"/>
    <w:uiPriority w:val="32"/>
    <w:qFormat/>
    <w:rsid w:val="00A80E1F"/>
    <w:rPr>
      <w:b/>
      <w:bCs/>
      <w:smallCaps/>
      <w:color w:val="0F4761" w:themeColor="accent1" w:themeShade="BF"/>
      <w:spacing w:val="5"/>
    </w:rPr>
  </w:style>
  <w:style w:type="paragraph" w:customStyle="1" w:styleId="Level1">
    <w:name w:val="Level 1"/>
    <w:basedOn w:val="Normal"/>
    <w:uiPriority w:val="99"/>
    <w:qFormat/>
    <w:rsid w:val="00A80E1F"/>
    <w:pPr>
      <w:numPr>
        <w:numId w:val="5"/>
      </w:numPr>
      <w:spacing w:after="240"/>
      <w:outlineLvl w:val="0"/>
    </w:pPr>
    <w:rPr>
      <w:rFonts w:ascii="Verdana" w:eastAsia="Times New Roman" w:hAnsi="Verdana" w:cs="Times New Roman"/>
      <w:sz w:val="18"/>
      <w:szCs w:val="18"/>
      <w:lang w:eastAsia="zh-CN"/>
    </w:rPr>
  </w:style>
  <w:style w:type="paragraph" w:customStyle="1" w:styleId="Level2">
    <w:name w:val="Level 2"/>
    <w:basedOn w:val="Normal"/>
    <w:uiPriority w:val="99"/>
    <w:qFormat/>
    <w:rsid w:val="00A80E1F"/>
    <w:pPr>
      <w:numPr>
        <w:ilvl w:val="1"/>
        <w:numId w:val="5"/>
      </w:numPr>
      <w:spacing w:after="240"/>
      <w:outlineLvl w:val="1"/>
    </w:pPr>
    <w:rPr>
      <w:rFonts w:ascii="Verdana" w:eastAsia="Times New Roman" w:hAnsi="Verdana" w:cs="Times New Roman"/>
      <w:sz w:val="18"/>
      <w:szCs w:val="18"/>
      <w:lang w:eastAsia="zh-CN"/>
    </w:rPr>
  </w:style>
  <w:style w:type="paragraph" w:customStyle="1" w:styleId="Level3">
    <w:name w:val="Level 3"/>
    <w:basedOn w:val="Normal"/>
    <w:uiPriority w:val="99"/>
    <w:qFormat/>
    <w:rsid w:val="00A80E1F"/>
    <w:pPr>
      <w:numPr>
        <w:ilvl w:val="2"/>
        <w:numId w:val="5"/>
      </w:numPr>
      <w:spacing w:after="240"/>
      <w:outlineLvl w:val="2"/>
    </w:pPr>
    <w:rPr>
      <w:rFonts w:ascii="Verdana" w:eastAsia="Times New Roman" w:hAnsi="Verdana" w:cs="Times New Roman"/>
      <w:sz w:val="18"/>
      <w:szCs w:val="18"/>
      <w:lang w:eastAsia="zh-CN"/>
    </w:rPr>
  </w:style>
  <w:style w:type="paragraph" w:customStyle="1" w:styleId="Level4">
    <w:name w:val="Level 4"/>
    <w:basedOn w:val="Normal"/>
    <w:uiPriority w:val="99"/>
    <w:qFormat/>
    <w:rsid w:val="00A80E1F"/>
    <w:pPr>
      <w:numPr>
        <w:ilvl w:val="3"/>
        <w:numId w:val="5"/>
      </w:numPr>
      <w:spacing w:after="240"/>
      <w:outlineLvl w:val="3"/>
    </w:pPr>
    <w:rPr>
      <w:rFonts w:ascii="Verdana" w:eastAsia="Times New Roman" w:hAnsi="Verdana" w:cs="Times New Roman"/>
      <w:sz w:val="18"/>
      <w:szCs w:val="18"/>
      <w:lang w:eastAsia="zh-CN"/>
    </w:rPr>
  </w:style>
  <w:style w:type="paragraph" w:customStyle="1" w:styleId="Level5">
    <w:name w:val="Level 5"/>
    <w:basedOn w:val="Normal"/>
    <w:uiPriority w:val="99"/>
    <w:qFormat/>
    <w:rsid w:val="00A80E1F"/>
    <w:pPr>
      <w:numPr>
        <w:ilvl w:val="4"/>
        <w:numId w:val="5"/>
      </w:numPr>
      <w:spacing w:after="240"/>
      <w:outlineLvl w:val="4"/>
    </w:pPr>
    <w:rPr>
      <w:rFonts w:ascii="Verdana" w:eastAsia="Times New Roman" w:hAnsi="Verdana" w:cs="Times New Roman"/>
      <w:sz w:val="18"/>
      <w:szCs w:val="18"/>
      <w:lang w:eastAsia="zh-CN"/>
    </w:rPr>
  </w:style>
  <w:style w:type="paragraph" w:customStyle="1" w:styleId="Schedule">
    <w:name w:val="Schedule"/>
    <w:basedOn w:val="Normal"/>
    <w:uiPriority w:val="99"/>
    <w:semiHidden/>
    <w:rsid w:val="00A80E1F"/>
    <w:pPr>
      <w:keepNext/>
      <w:numPr>
        <w:numId w:val="3"/>
      </w:numPr>
      <w:spacing w:after="240"/>
      <w:jc w:val="center"/>
    </w:pPr>
    <w:rPr>
      <w:rFonts w:ascii="Verdana" w:eastAsia="Times New Roman" w:hAnsi="Verdana" w:cs="Times New Roman"/>
      <w:b/>
      <w:caps/>
      <w:sz w:val="24"/>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Lyndsay Baxter</dc:creator>
  <cp:keywords/>
  <dc:description/>
  <cp:lastModifiedBy>Lyndsay Baxter</cp:lastModifiedBy>
  <cp:revision>5</cp:revision>
  <dcterms:created xsi:type="dcterms:W3CDTF">2025-01-29T13:41:00Z</dcterms:created>
  <dcterms:modified xsi:type="dcterms:W3CDTF">2025-01-30T10:22:00Z</dcterms:modified>
</cp:coreProperties>
</file>