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u w:val="single" w:color="auto"/>
          <w:lang w:val="en-UK"/>
        </w:rPr>
      </w:pPr>
      <w:r>
        <w:rPr>
          <w:u w:val="single" w:color="auto"/>
          <w:lang w:val="en-UK"/>
        </w:rPr>
        <w:t>Technical Housing Standards Floor Areas</w:t>
      </w:r>
      <w:bookmarkStart w:id="0" w:name="_GoBack"/>
      <w:bookmarkEnd w:id="0"/>
    </w:p>
    <w:p>
      <w:pPr>
        <w:rPr>
          <w:u w:val="single" w:color="auto"/>
          <w:lang w:val="en-UK"/>
        </w:rPr>
      </w:pPr>
    </w:p>
    <w:p>
      <w:pPr>
        <w:rPr>
          <w:u w:val="single" w:color="auto"/>
          <w:lang w:val="en-UK"/>
        </w:rPr>
      </w:pPr>
    </w:p>
    <w:p>
      <w:pPr>
        <w:rPr>
          <w:u w:val="single" w:color="auto"/>
          <w:lang w:val="en-UK"/>
        </w:rPr>
      </w:pPr>
      <w:r>
        <w:rPr>
          <w:u w:val="single" w:color="auto"/>
          <w:lang w:val="en-UK"/>
        </w:rPr>
        <w:t>Unit 1 - 2b3p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Gross internal area - 88.96m2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1 - 17.32m2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2 - 9.06m2</w:t>
      </w:r>
    </w:p>
    <w:p>
      <w:pPr>
        <w:rPr>
          <w:lang w:val="en-UK"/>
        </w:rPr>
      </w:pPr>
    </w:p>
    <w:p>
      <w:pPr>
        <w:rPr>
          <w:u w:val="single" w:color="auto"/>
          <w:lang w:val="en-UK"/>
        </w:rPr>
      </w:pPr>
      <w:r>
        <w:rPr>
          <w:u w:val="single" w:color="auto"/>
          <w:lang w:val="en-UK"/>
        </w:rPr>
        <w:t>Unit 2 - 2b3p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Gross internal area - 88.96m2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1 - 17.32m2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2 - 9.06m2</w:t>
      </w:r>
    </w:p>
    <w:p>
      <w:pPr>
        <w:rPr>
          <w:lang w:val="en-UK"/>
        </w:rPr>
      </w:pPr>
    </w:p>
    <w:p>
      <w:pPr>
        <w:rPr>
          <w:u w:val="single" w:color="auto"/>
          <w:lang w:val="en-UK"/>
        </w:rPr>
      </w:pPr>
      <w:r>
        <w:rPr>
          <w:u w:val="single" w:color="auto"/>
          <w:lang w:val="en-UK"/>
        </w:rPr>
        <w:t>Unit 3 -2b3p</w:t>
      </w:r>
    </w:p>
    <w:p>
      <w:pPr>
        <w:rPr>
          <w:u w:val="single" w:color="auto"/>
          <w:lang w:val="en-UK"/>
        </w:rPr>
      </w:pPr>
    </w:p>
    <w:p>
      <w:pPr>
        <w:rPr>
          <w:lang w:val="en-UK"/>
        </w:rPr>
      </w:pPr>
      <w:r>
        <w:rPr>
          <w:lang w:val="en-UK"/>
        </w:rPr>
        <w:t>Gross internal area - 82.72m2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1 - 13.78m2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2 - 8.96m2</w:t>
      </w:r>
    </w:p>
    <w:p>
      <w:pPr>
        <w:rPr>
          <w:lang w:val="en-UK"/>
        </w:rPr>
      </w:pPr>
    </w:p>
    <w:p>
      <w:pPr>
        <w:rPr>
          <w:u w:val="single" w:color="auto"/>
          <w:lang w:val="en-UK"/>
        </w:rPr>
      </w:pPr>
      <w:r>
        <w:rPr>
          <w:u w:val="single" w:color="auto"/>
          <w:lang w:val="en-UK"/>
        </w:rPr>
        <w:t>Unit 4 -2b3p</w:t>
      </w:r>
    </w:p>
    <w:p>
      <w:pPr>
        <w:rPr>
          <w:u w:val="single" w:color="auto"/>
          <w:lang w:val="en-UK"/>
        </w:rPr>
      </w:pPr>
    </w:p>
    <w:p>
      <w:pPr>
        <w:rPr>
          <w:u w:val="none" w:color="auto"/>
          <w:lang w:val="en-UK"/>
        </w:rPr>
      </w:pPr>
      <w:r>
        <w:rPr>
          <w:u w:val="none" w:color="auto"/>
          <w:lang w:val="en-UK"/>
        </w:rPr>
        <w:t>Gross internal area - 82.72m2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1 - 13.78m2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2 - 8.96m2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u w:val="single" w:color="auto"/>
          <w:lang w:val="en-UK"/>
        </w:rPr>
        <w:t>Unit 5 - 2b3p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Gross internal area - 103.14m2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1 - 15.38m2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2 - 11.20m2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u w:val="single" w:color="auto"/>
          <w:lang w:val="en-UK"/>
        </w:rPr>
        <w:t xml:space="preserve">Unit 6 - 2b4p 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Gross internal area - 120.19m2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1 - 18.55m2</w:t>
      </w:r>
    </w:p>
    <w:p>
      <w:pPr>
        <w:rPr>
          <w:lang w:val="en-UK"/>
        </w:rPr>
      </w:pPr>
    </w:p>
    <w:p>
      <w:pPr>
        <w:rPr>
          <w:lang w:val="en-UK"/>
        </w:rPr>
      </w:pPr>
      <w:r>
        <w:rPr>
          <w:lang w:val="en-UK"/>
        </w:rPr>
        <w:t>Bedroom 2 - 17.18m2</w:t>
      </w:r>
    </w:p>
    <w:sectPr>
      <w:pgSz w:w="11849" w:h="16781"/>
      <w:pgMar w:top="1440" w:right="1117" w:bottom="1440" w:left="1117" w:header="1446" w:footer="1446" w:gutter="0"/>
      <w:paperSrc w:first="0" w:other="0"/>
      <w:cols w:space="720" w:num="1"/>
      <w:docGrid w:linePitch="2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altName w:val="SimSun"/>
    <w:panose1 w:val="02010600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name="index heading"/>
    <w:lsdException w:unhideWhenUsed="0" w:uiPriority="0" w:name="caption"/>
    <w:lsdException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annotation subject"/>
    <w:lsdException w:unhideWhenUsed="0" w:uiPriority="0" w:name="Balloon Text"/>
  </w:latentStyles>
  <w:style w:type="paragraph" w:default="1" w:styleId="1">
    <w:name w:val="Normal"/>
    <w:uiPriority w:val="0"/>
    <w:pPr>
      <w:widowControl w:val="0"/>
      <w:jc w:val="left"/>
    </w:pPr>
    <w:rPr>
      <w:rFonts w:ascii="Times New Roman" w:hAnsi="Times New Roman"/>
      <w:kern w:val="2"/>
      <w:sz w:val="24"/>
      <w:lang w:val="en-US" w:eastAsia="zh-CN"/>
    </w:rPr>
  </w:style>
  <w:style w:type="paragraph" w:styleId="2">
    <w:name w:val="heading 1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0"/>
    </w:pPr>
    <w:rPr>
      <w:rFonts w:ascii="Arial" w:hAnsi="Arial"/>
      <w:b/>
      <w:kern w:val="44"/>
      <w:sz w:val="32"/>
    </w:rPr>
  </w:style>
  <w:style w:type="paragraph" w:styleId="3">
    <w:name w:val="heading 2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4"/>
    </w:pPr>
    <w:rPr>
      <w:b/>
      <w:i/>
      <w:sz w:val="26"/>
    </w:rPr>
  </w:style>
  <w:style w:type="paragraph" w:styleId="7">
    <w:name w:val="heading 6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5"/>
    </w:pPr>
    <w:rPr>
      <w:rFonts w:ascii="Times New Roman" w:hAnsi="Times New Roman"/>
      <w:b/>
      <w:sz w:val="22"/>
    </w:rPr>
  </w:style>
  <w:style w:type="paragraph" w:styleId="8">
    <w:name w:val="heading 7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6"/>
    </w:pPr>
    <w:rPr>
      <w:sz w:val="24"/>
    </w:rPr>
  </w:style>
  <w:style w:type="paragraph" w:styleId="9">
    <w:name w:val="heading 8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7"/>
    </w:pPr>
    <w:rPr>
      <w:rFonts w:ascii="Times New Roman" w:hAnsi="Times New Roman"/>
      <w:i/>
      <w:sz w:val="24"/>
    </w:rPr>
  </w:style>
  <w:style w:type="paragraph" w:styleId="10">
    <w:name w:val="heading 9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8"/>
    </w:pPr>
    <w:rPr>
      <w:rFonts w:ascii="Arial" w:hAnsi="Arial"/>
      <w:sz w:val="22"/>
    </w:rPr>
  </w:style>
  <w:style w:type="character" w:default="1" w:styleId="13">
    <w:name w:val="Default Paragraph Font"/>
    <w:uiPriority w:val="0"/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2010-05-06T13:11:00Z</dcterms:created>
  <dc:creator>Malcolm Percy</dc:creator>
  <cp:lastModifiedBy>Malcolm Percy</cp:lastModifiedBy>
  <dcterms:modified xsi:type="dcterms:W3CDTF">2025-03-07T08:51:17Z</dcterms:modified>
  <dc:title>Technical Housing Standards Floor Areas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