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b/>
          <w:bCs/>
          <w:i/>
          <w:iCs/>
          <w:u w:val="single" w:color="auto"/>
          <w:lang w:val="en-UK"/>
        </w:rPr>
      </w:pPr>
      <w:r>
        <w:rPr>
          <w:b/>
          <w:bCs/>
          <w:i/>
          <w:iCs/>
          <w:u w:val="single" w:color="auto"/>
          <w:lang w:val="en-UK"/>
        </w:rPr>
        <w:t>Green Belt Statement</w:t>
      </w:r>
    </w:p>
    <w:p>
      <w:pPr>
        <w:jc w:val="center"/>
        <w:rPr>
          <w:b/>
          <w:bCs/>
          <w:i/>
          <w:iCs/>
          <w:u w:val="single" w:color="auto"/>
          <w:lang w:val="en-UK"/>
        </w:rPr>
      </w:pPr>
    </w:p>
    <w:p>
      <w:pPr>
        <w:jc w:val="center"/>
        <w:rPr>
          <w:b/>
          <w:bCs/>
          <w:i/>
          <w:iCs/>
          <w:u w:val="single" w:color="auto"/>
          <w:lang w:val="en-UK"/>
        </w:rPr>
      </w:pPr>
      <w:r>
        <w:rPr>
          <w:b/>
          <w:bCs/>
          <w:i/>
          <w:iCs/>
          <w:u w:val="single" w:color="auto"/>
          <w:lang w:val="en-UK"/>
        </w:rPr>
        <w:t>The partial demolition and conversion of the existing kennels and cattery into five dwelling houses including the removal of the existing roofs and construction of new roofs together with the construction of a detached dwelling. Excavation of ground levels and deposition of spoil and construction of stone gabion boundary wall including diversion of footpath.</w:t>
      </w:r>
    </w:p>
    <w:p>
      <w:pPr>
        <w:jc w:val="center"/>
        <w:rPr>
          <w:b/>
          <w:bCs/>
          <w:i/>
          <w:iCs/>
          <w:u w:val="single" w:color="auto"/>
          <w:lang w:val="en-UK"/>
        </w:rPr>
      </w:pPr>
      <w:r>
        <w:rPr>
          <w:b/>
          <w:bCs/>
          <w:i/>
          <w:iCs/>
          <w:u w:val="single" w:color="auto"/>
          <w:lang w:val="en-UK"/>
        </w:rPr>
        <w:t>Springbank Luxury Boarding Kennels, Birch Hill Lane, Wardle, OL12 9LZ. (Part retrospective)</w:t>
      </w:r>
    </w:p>
    <w:p/>
    <w:p/>
    <w:p>
      <w:pPr>
        <w:rPr>
          <w:b/>
          <w:bCs/>
          <w:lang w:val="en-UK"/>
        </w:rPr>
      </w:pPr>
      <w:r>
        <w:rPr>
          <w:b/>
          <w:bCs/>
          <w:lang w:val="en-UK"/>
        </w:rPr>
        <w:t>POLICY</w:t>
      </w:r>
    </w:p>
    <w:p>
      <w:pPr>
        <w:rPr>
          <w:lang w:val="en-UK"/>
        </w:rPr>
      </w:pPr>
    </w:p>
    <w:p>
      <w:pPr>
        <w:widowControl w:val="0"/>
        <w:autoSpaceDE w:val="0"/>
        <w:autoSpaceDN w:val="0"/>
        <w:rPr>
          <w:rFonts w:hint="default" w:ascii="Times New Roman" w:hAnsi="Times New Roman" w:eastAsia="Arial" w:cs="Times New Roman"/>
          <w:sz w:val="21"/>
          <w:szCs w:val="21"/>
        </w:rPr>
      </w:pPr>
      <w:r>
        <w:rPr>
          <w:rFonts w:hint="default" w:ascii="Times New Roman" w:hAnsi="Times New Roman" w:eastAsia="Arial" w:cs="Times New Roman"/>
          <w:sz w:val="21"/>
          <w:szCs w:val="21"/>
        </w:rPr>
        <w:t>In respect of the Green Belt, The NPPF states that the fundamental aim of Green Belt policy</w:t>
      </w:r>
      <w:r>
        <w:rPr>
          <w:rFonts w:hint="default" w:ascii="Times New Roman" w:hAnsi="Times New Roman" w:eastAsia="Arial" w:cs="Times New Roman"/>
          <w:sz w:val="21"/>
          <w:szCs w:val="21"/>
          <w:lang w:val="en-UK"/>
        </w:rPr>
        <w:t xml:space="preserve"> </w:t>
      </w:r>
      <w:r>
        <w:rPr>
          <w:rFonts w:hint="default" w:ascii="Times New Roman" w:hAnsi="Times New Roman" w:eastAsia="Arial" w:cs="Times New Roman"/>
          <w:sz w:val="21"/>
          <w:szCs w:val="21"/>
        </w:rPr>
        <w:t>is to prevent urban sprawl by keeping land permanently open. The purposes of Green Belt</w:t>
      </w:r>
      <w:r>
        <w:rPr>
          <w:rFonts w:hint="default" w:ascii="Times New Roman" w:hAnsi="Times New Roman" w:eastAsia="Arial" w:cs="Times New Roman"/>
          <w:sz w:val="21"/>
          <w:szCs w:val="21"/>
          <w:lang w:val="en-UK"/>
        </w:rPr>
        <w:t xml:space="preserve"> </w:t>
      </w:r>
      <w:r>
        <w:rPr>
          <w:rFonts w:hint="default" w:ascii="Times New Roman" w:hAnsi="Times New Roman" w:eastAsia="Arial" w:cs="Times New Roman"/>
          <w:sz w:val="21"/>
          <w:szCs w:val="21"/>
        </w:rPr>
        <w:t>are:</w:t>
      </w:r>
    </w:p>
    <w:p>
      <w:pPr>
        <w:widowControl w:val="0"/>
        <w:autoSpaceDE w:val="0"/>
        <w:autoSpaceDN w:val="0"/>
        <w:rPr>
          <w:rFonts w:hint="default" w:ascii="Times New Roman" w:hAnsi="Times New Roman" w:eastAsia="Arial" w:cs="Times New Roman"/>
          <w:sz w:val="21"/>
          <w:szCs w:val="21"/>
        </w:rPr>
      </w:pPr>
    </w:p>
    <w:p>
      <w:pPr>
        <w:widowControl w:val="0"/>
        <w:autoSpaceDE w:val="0"/>
        <w:autoSpaceDN w:val="0"/>
        <w:rPr>
          <w:rFonts w:hint="default" w:ascii="Times New Roman" w:hAnsi="Times New Roman" w:eastAsia="Arial" w:cs="Times New Roman"/>
          <w:sz w:val="21"/>
          <w:szCs w:val="21"/>
        </w:rPr>
      </w:pPr>
      <w:r>
        <w:rPr>
          <w:rFonts w:hint="default" w:ascii="Times New Roman" w:hAnsi="Times New Roman" w:eastAsia="Arial" w:cs="Times New Roman"/>
          <w:sz w:val="21"/>
          <w:szCs w:val="21"/>
        </w:rPr>
        <w:t>to check unrestricted sprawl;</w:t>
      </w:r>
    </w:p>
    <w:p>
      <w:pPr>
        <w:widowControl w:val="0"/>
        <w:autoSpaceDE w:val="0"/>
        <w:autoSpaceDN w:val="0"/>
        <w:rPr>
          <w:rFonts w:hint="default" w:ascii="Times New Roman" w:hAnsi="Times New Roman" w:eastAsia="Verdana" w:cs="Times New Roman"/>
          <w:sz w:val="21"/>
          <w:szCs w:val="21"/>
        </w:rPr>
      </w:pPr>
    </w:p>
    <w:p>
      <w:pPr>
        <w:widowControl w:val="0"/>
        <w:autoSpaceDE w:val="0"/>
        <w:autoSpaceDN w:val="0"/>
        <w:rPr>
          <w:rFonts w:hint="default" w:ascii="Times New Roman" w:hAnsi="Times New Roman" w:eastAsia="Arial" w:cs="Times New Roman"/>
          <w:sz w:val="21"/>
          <w:szCs w:val="21"/>
        </w:rPr>
      </w:pPr>
      <w:r>
        <w:rPr>
          <w:rFonts w:hint="default" w:ascii="Times New Roman" w:hAnsi="Times New Roman" w:eastAsia="Arial" w:cs="Times New Roman"/>
          <w:sz w:val="21"/>
          <w:szCs w:val="21"/>
        </w:rPr>
        <w:t>prevent neighbouring towns merging;</w:t>
      </w:r>
    </w:p>
    <w:p>
      <w:pPr>
        <w:widowControl w:val="0"/>
        <w:autoSpaceDE w:val="0"/>
        <w:autoSpaceDN w:val="0"/>
        <w:rPr>
          <w:rFonts w:hint="default" w:ascii="Times New Roman" w:hAnsi="Times New Roman" w:eastAsia="Verdana" w:cs="Times New Roman"/>
          <w:sz w:val="21"/>
          <w:szCs w:val="21"/>
        </w:rPr>
      </w:pPr>
    </w:p>
    <w:p>
      <w:pPr>
        <w:widowControl w:val="0"/>
        <w:autoSpaceDE w:val="0"/>
        <w:autoSpaceDN w:val="0"/>
        <w:rPr>
          <w:rFonts w:hint="default" w:ascii="Times New Roman" w:hAnsi="Times New Roman" w:eastAsia="Arial" w:cs="Times New Roman"/>
          <w:sz w:val="21"/>
          <w:szCs w:val="21"/>
        </w:rPr>
      </w:pPr>
      <w:r>
        <w:rPr>
          <w:rFonts w:hint="default" w:ascii="Times New Roman" w:hAnsi="Times New Roman" w:eastAsia="Arial" w:cs="Times New Roman"/>
          <w:sz w:val="21"/>
          <w:szCs w:val="21"/>
        </w:rPr>
        <w:t>assist in safeguarding the countryside from encroachment;</w:t>
      </w:r>
    </w:p>
    <w:p>
      <w:pPr>
        <w:widowControl w:val="0"/>
        <w:autoSpaceDE w:val="0"/>
        <w:autoSpaceDN w:val="0"/>
        <w:rPr>
          <w:rFonts w:hint="default" w:ascii="Times New Roman" w:hAnsi="Times New Roman" w:eastAsia="Verdana" w:cs="Times New Roman"/>
          <w:sz w:val="21"/>
          <w:szCs w:val="21"/>
        </w:rPr>
      </w:pPr>
    </w:p>
    <w:p>
      <w:pPr>
        <w:widowControl w:val="0"/>
        <w:autoSpaceDE w:val="0"/>
        <w:autoSpaceDN w:val="0"/>
        <w:rPr>
          <w:rFonts w:hint="default" w:ascii="Times New Roman" w:hAnsi="Times New Roman" w:eastAsia="Arial" w:cs="Times New Roman"/>
          <w:sz w:val="21"/>
          <w:szCs w:val="21"/>
        </w:rPr>
      </w:pPr>
      <w:r>
        <w:rPr>
          <w:rFonts w:hint="default" w:ascii="Times New Roman" w:hAnsi="Times New Roman" w:eastAsia="Arial" w:cs="Times New Roman"/>
          <w:sz w:val="21"/>
          <w:szCs w:val="21"/>
        </w:rPr>
        <w:t>preserve the setting and special character of historic towns;</w:t>
      </w:r>
    </w:p>
    <w:p>
      <w:pPr>
        <w:widowControl w:val="0"/>
        <w:autoSpaceDE w:val="0"/>
        <w:autoSpaceDN w:val="0"/>
        <w:rPr>
          <w:rFonts w:hint="default" w:ascii="Times New Roman" w:hAnsi="Times New Roman" w:eastAsia="Arial" w:cs="Times New Roman"/>
          <w:sz w:val="21"/>
          <w:szCs w:val="21"/>
        </w:rPr>
      </w:pPr>
    </w:p>
    <w:p>
      <w:pPr>
        <w:widowControl w:val="0"/>
        <w:autoSpaceDE w:val="0"/>
        <w:autoSpaceDN w:val="0"/>
        <w:rPr>
          <w:rFonts w:hint="default" w:ascii="Times New Roman" w:hAnsi="Times New Roman" w:eastAsia="Arial" w:cs="Times New Roman"/>
          <w:sz w:val="21"/>
          <w:szCs w:val="21"/>
        </w:rPr>
      </w:pPr>
      <w:r>
        <w:rPr>
          <w:rFonts w:hint="default" w:ascii="Times New Roman" w:hAnsi="Times New Roman" w:eastAsia="Arial" w:cs="Times New Roman"/>
          <w:sz w:val="21"/>
          <w:szCs w:val="21"/>
        </w:rPr>
        <w:t>assist in urban regeneration</w:t>
      </w:r>
    </w:p>
    <w:p>
      <w:pPr>
        <w:widowControl w:val="0"/>
        <w:autoSpaceDE w:val="0"/>
        <w:autoSpaceDN w:val="0"/>
        <w:rPr>
          <w:rFonts w:hint="default" w:ascii="Times New Roman" w:hAnsi="Times New Roman" w:eastAsia="Arial" w:cs="Times New Roman"/>
          <w:sz w:val="21"/>
          <w:szCs w:val="21"/>
        </w:rPr>
      </w:pPr>
    </w:p>
    <w:p>
      <w:pPr>
        <w:widowControl w:val="0"/>
        <w:autoSpaceDE w:val="0"/>
        <w:autoSpaceDN w:val="0"/>
        <w:rPr>
          <w:rFonts w:hint="default" w:ascii="Times New Roman" w:hAnsi="Times New Roman" w:eastAsia="Arial" w:cs="Times New Roman"/>
          <w:sz w:val="21"/>
          <w:szCs w:val="21"/>
        </w:rPr>
      </w:pPr>
      <w:r>
        <w:rPr>
          <w:rFonts w:hint="default" w:eastAsia="Arial" w:cs="Times New Roman"/>
          <w:sz w:val="21"/>
          <w:szCs w:val="21"/>
          <w:lang w:val="en-UK"/>
        </w:rPr>
        <w:t>T</w:t>
      </w:r>
      <w:r>
        <w:rPr>
          <w:rFonts w:hint="default" w:ascii="Times New Roman" w:hAnsi="Times New Roman" w:eastAsia="Arial" w:cs="Times New Roman"/>
          <w:sz w:val="21"/>
          <w:szCs w:val="21"/>
        </w:rPr>
        <w:t>he NPPF states that a local planning authority should regard the</w:t>
      </w:r>
      <w:r>
        <w:rPr>
          <w:rFonts w:hint="default" w:ascii="Times New Roman" w:hAnsi="Times New Roman" w:eastAsia="Arial" w:cs="Times New Roman"/>
          <w:sz w:val="21"/>
          <w:szCs w:val="21"/>
          <w:lang w:val="en-UK"/>
        </w:rPr>
        <w:t xml:space="preserve"> </w:t>
      </w:r>
      <w:r>
        <w:rPr>
          <w:rFonts w:hint="default" w:ascii="Times New Roman" w:hAnsi="Times New Roman" w:eastAsia="Arial" w:cs="Times New Roman"/>
          <w:sz w:val="21"/>
          <w:szCs w:val="21"/>
        </w:rPr>
        <w:t>construction of new buildings as inappropriate in Green Belt. Exceptions to this are:</w:t>
      </w:r>
    </w:p>
    <w:p>
      <w:pPr>
        <w:widowControl w:val="0"/>
        <w:autoSpaceDE w:val="0"/>
        <w:autoSpaceDN w:val="0"/>
        <w:rPr>
          <w:rFonts w:hint="default" w:ascii="Times New Roman" w:hAnsi="Times New Roman" w:eastAsia="Arial" w:cs="Times New Roman"/>
          <w:sz w:val="21"/>
          <w:szCs w:val="21"/>
        </w:rPr>
      </w:pPr>
    </w:p>
    <w:p>
      <w:pPr>
        <w:widowControl w:val="0"/>
        <w:autoSpaceDE w:val="0"/>
        <w:autoSpaceDN w:val="0"/>
        <w:rPr>
          <w:rFonts w:hint="default" w:ascii="Times New Roman" w:hAnsi="Times New Roman" w:eastAsia="Arial" w:cs="Times New Roman"/>
          <w:sz w:val="21"/>
          <w:szCs w:val="21"/>
        </w:rPr>
      </w:pPr>
      <w:r>
        <w:rPr>
          <w:rFonts w:hint="default" w:eastAsia="Arial" w:cs="Times New Roman"/>
          <w:sz w:val="21"/>
          <w:szCs w:val="21"/>
          <w:lang w:val="en-UK"/>
        </w:rPr>
        <w:t xml:space="preserve">a) </w:t>
      </w:r>
      <w:r>
        <w:rPr>
          <w:rFonts w:hint="default" w:ascii="Times New Roman" w:hAnsi="Times New Roman" w:eastAsia="Arial" w:cs="Times New Roman"/>
          <w:sz w:val="21"/>
          <w:szCs w:val="21"/>
        </w:rPr>
        <w:t>buildings for agriculture and forestry;</w:t>
      </w:r>
    </w:p>
    <w:p>
      <w:pPr>
        <w:widowControl w:val="0"/>
        <w:autoSpaceDE w:val="0"/>
        <w:autoSpaceDN w:val="0"/>
        <w:rPr>
          <w:rFonts w:hint="default" w:ascii="Times New Roman" w:hAnsi="Times New Roman" w:eastAsia="Verdana" w:cs="Times New Roman"/>
          <w:sz w:val="21"/>
          <w:szCs w:val="21"/>
        </w:rPr>
      </w:pPr>
    </w:p>
    <w:p>
      <w:pPr>
        <w:widowControl w:val="0"/>
        <w:autoSpaceDE w:val="0"/>
        <w:autoSpaceDN w:val="0"/>
        <w:rPr>
          <w:rFonts w:hint="default" w:ascii="Times New Roman" w:hAnsi="Times New Roman" w:eastAsia="Arial" w:cs="Times New Roman"/>
          <w:sz w:val="21"/>
          <w:szCs w:val="21"/>
        </w:rPr>
      </w:pPr>
      <w:r>
        <w:rPr>
          <w:rFonts w:hint="default" w:eastAsia="Arial" w:cs="Times New Roman"/>
          <w:sz w:val="21"/>
          <w:szCs w:val="21"/>
          <w:lang w:val="en-UK"/>
        </w:rPr>
        <w:t xml:space="preserve">b) </w:t>
      </w:r>
      <w:r>
        <w:rPr>
          <w:rFonts w:hint="default" w:ascii="Times New Roman" w:hAnsi="Times New Roman" w:eastAsia="Arial" w:cs="Times New Roman"/>
          <w:sz w:val="21"/>
          <w:szCs w:val="21"/>
        </w:rPr>
        <w:t>provision of appropriate facilities for outdoor sport, outdoor recreation and for</w:t>
      </w:r>
      <w:r>
        <w:rPr>
          <w:rFonts w:hint="default" w:ascii="Times New Roman" w:hAnsi="Times New Roman" w:eastAsia="Arial" w:cs="Times New Roman"/>
          <w:sz w:val="21"/>
          <w:szCs w:val="21"/>
          <w:lang w:val="en-UK"/>
        </w:rPr>
        <w:t xml:space="preserve"> </w:t>
      </w:r>
      <w:r>
        <w:rPr>
          <w:rFonts w:hint="default" w:ascii="Times New Roman" w:hAnsi="Times New Roman" w:eastAsia="Arial" w:cs="Times New Roman"/>
          <w:sz w:val="21"/>
          <w:szCs w:val="21"/>
        </w:rPr>
        <w:t>cemeteries, as long as it preserves the openness of the Green Belt and does not</w:t>
      </w:r>
      <w:r>
        <w:rPr>
          <w:rFonts w:hint="default" w:ascii="Times New Roman" w:hAnsi="Times New Roman" w:eastAsia="Arial" w:cs="Times New Roman"/>
          <w:sz w:val="21"/>
          <w:szCs w:val="21"/>
          <w:lang w:val="en-UK"/>
        </w:rPr>
        <w:t xml:space="preserve"> </w:t>
      </w:r>
      <w:r>
        <w:rPr>
          <w:rFonts w:hint="default" w:ascii="Times New Roman" w:hAnsi="Times New Roman" w:eastAsia="Arial" w:cs="Times New Roman"/>
          <w:sz w:val="21"/>
          <w:szCs w:val="21"/>
        </w:rPr>
        <w:t>conflict with the purposes of including land within it;</w:t>
      </w:r>
    </w:p>
    <w:p>
      <w:pPr>
        <w:widowControl w:val="0"/>
        <w:autoSpaceDE w:val="0"/>
        <w:autoSpaceDN w:val="0"/>
        <w:rPr>
          <w:rFonts w:hint="default" w:ascii="Times New Roman" w:hAnsi="Times New Roman" w:eastAsia="Arial" w:cs="Times New Roman"/>
          <w:sz w:val="21"/>
          <w:szCs w:val="21"/>
        </w:rPr>
      </w:pPr>
    </w:p>
    <w:p>
      <w:pPr>
        <w:widowControl w:val="0"/>
        <w:autoSpaceDE w:val="0"/>
        <w:autoSpaceDN w:val="0"/>
        <w:rPr>
          <w:rFonts w:hint="default" w:ascii="Times New Roman" w:hAnsi="Times New Roman" w:eastAsia="Arial" w:cs="Times New Roman"/>
          <w:b/>
          <w:bCs/>
          <w:sz w:val="21"/>
          <w:szCs w:val="21"/>
        </w:rPr>
      </w:pPr>
      <w:r>
        <w:rPr>
          <w:rFonts w:hint="default" w:eastAsia="Arial" w:cs="Times New Roman"/>
          <w:b/>
          <w:bCs/>
          <w:sz w:val="21"/>
          <w:szCs w:val="21"/>
          <w:lang w:val="en-UK"/>
        </w:rPr>
        <w:t xml:space="preserve">c) </w:t>
      </w:r>
      <w:r>
        <w:rPr>
          <w:rFonts w:hint="default" w:ascii="Times New Roman" w:hAnsi="Times New Roman" w:eastAsia="Arial" w:cs="Times New Roman"/>
          <w:b/>
          <w:bCs/>
          <w:sz w:val="21"/>
          <w:szCs w:val="21"/>
        </w:rPr>
        <w:t>the extension or alteration of a building provided that it does not result in</w:t>
      </w:r>
      <w:r>
        <w:rPr>
          <w:rFonts w:hint="default" w:ascii="Times New Roman" w:hAnsi="Times New Roman" w:eastAsia="Arial" w:cs="Times New Roman"/>
          <w:b/>
          <w:bCs/>
          <w:sz w:val="21"/>
          <w:szCs w:val="21"/>
          <w:lang w:val="en-UK"/>
        </w:rPr>
        <w:t xml:space="preserve"> </w:t>
      </w:r>
      <w:r>
        <w:rPr>
          <w:rFonts w:hint="default" w:ascii="Times New Roman" w:hAnsi="Times New Roman" w:eastAsia="Arial" w:cs="Times New Roman"/>
          <w:b/>
          <w:bCs/>
          <w:sz w:val="21"/>
          <w:szCs w:val="21"/>
        </w:rPr>
        <w:t>disproportionate additions over and above the size of the original building;</w:t>
      </w:r>
    </w:p>
    <w:p>
      <w:pPr>
        <w:widowControl w:val="0"/>
        <w:autoSpaceDE w:val="0"/>
        <w:autoSpaceDN w:val="0"/>
        <w:rPr>
          <w:rFonts w:hint="default" w:ascii="Times New Roman" w:hAnsi="Times New Roman" w:eastAsia="Verdana" w:cs="Times New Roman"/>
          <w:sz w:val="21"/>
          <w:szCs w:val="21"/>
        </w:rPr>
      </w:pPr>
    </w:p>
    <w:p>
      <w:pPr>
        <w:widowControl w:val="0"/>
        <w:autoSpaceDE w:val="0"/>
        <w:autoSpaceDN w:val="0"/>
        <w:rPr>
          <w:rFonts w:hint="default" w:ascii="Times New Roman" w:hAnsi="Times New Roman" w:eastAsia="Arial" w:cs="Times New Roman"/>
          <w:sz w:val="21"/>
          <w:szCs w:val="21"/>
        </w:rPr>
      </w:pPr>
      <w:r>
        <w:rPr>
          <w:rFonts w:hint="default" w:eastAsia="Arial" w:cs="Times New Roman"/>
          <w:sz w:val="21"/>
          <w:szCs w:val="21"/>
          <w:lang w:val="en-UK"/>
        </w:rPr>
        <w:t xml:space="preserve">d) </w:t>
      </w:r>
      <w:r>
        <w:rPr>
          <w:rFonts w:hint="default" w:ascii="Times New Roman" w:hAnsi="Times New Roman" w:eastAsia="Arial" w:cs="Times New Roman"/>
          <w:sz w:val="21"/>
          <w:szCs w:val="21"/>
        </w:rPr>
        <w:t>the replacement of a building, provided the new building is in the same use and not</w:t>
      </w:r>
      <w:r>
        <w:rPr>
          <w:rFonts w:hint="default" w:ascii="Times New Roman" w:hAnsi="Times New Roman" w:eastAsia="Arial" w:cs="Times New Roman"/>
          <w:sz w:val="21"/>
          <w:szCs w:val="21"/>
          <w:lang w:val="en-UK"/>
        </w:rPr>
        <w:t xml:space="preserve"> </w:t>
      </w:r>
      <w:r>
        <w:rPr>
          <w:rFonts w:hint="default" w:ascii="Times New Roman" w:hAnsi="Times New Roman" w:eastAsia="Arial" w:cs="Times New Roman"/>
          <w:sz w:val="21"/>
          <w:szCs w:val="21"/>
        </w:rPr>
        <w:t>materially larger than the one it replaces;</w:t>
      </w:r>
    </w:p>
    <w:p>
      <w:pPr>
        <w:widowControl w:val="0"/>
        <w:autoSpaceDE w:val="0"/>
        <w:autoSpaceDN w:val="0"/>
        <w:rPr>
          <w:rFonts w:hint="default" w:ascii="Times New Roman" w:hAnsi="Times New Roman" w:eastAsia="Verdana" w:cs="Times New Roman"/>
          <w:sz w:val="21"/>
          <w:szCs w:val="21"/>
        </w:rPr>
      </w:pPr>
    </w:p>
    <w:p>
      <w:pPr>
        <w:widowControl w:val="0"/>
        <w:autoSpaceDE w:val="0"/>
        <w:autoSpaceDN w:val="0"/>
        <w:rPr>
          <w:rFonts w:hint="default" w:ascii="Times New Roman" w:hAnsi="Times New Roman" w:eastAsia="Arial" w:cs="Times New Roman"/>
          <w:sz w:val="21"/>
          <w:szCs w:val="21"/>
        </w:rPr>
      </w:pPr>
      <w:r>
        <w:rPr>
          <w:rFonts w:hint="default" w:eastAsia="Arial" w:cs="Times New Roman"/>
          <w:sz w:val="21"/>
          <w:szCs w:val="21"/>
          <w:lang w:val="en-UK"/>
        </w:rPr>
        <w:t xml:space="preserve">e) </w:t>
      </w:r>
      <w:r>
        <w:rPr>
          <w:rFonts w:hint="default" w:ascii="Times New Roman" w:hAnsi="Times New Roman" w:eastAsia="Arial" w:cs="Times New Roman"/>
          <w:sz w:val="21"/>
          <w:szCs w:val="21"/>
        </w:rPr>
        <w:t>limited infilling in villages, and limited affordable housing for local community needs</w:t>
      </w:r>
      <w:r>
        <w:rPr>
          <w:rFonts w:hint="default" w:ascii="Times New Roman" w:hAnsi="Times New Roman" w:eastAsia="Arial" w:cs="Times New Roman"/>
          <w:sz w:val="21"/>
          <w:szCs w:val="21"/>
          <w:lang w:val="en-UK"/>
        </w:rPr>
        <w:t xml:space="preserve"> </w:t>
      </w:r>
      <w:r>
        <w:rPr>
          <w:rFonts w:hint="default" w:ascii="Times New Roman" w:hAnsi="Times New Roman" w:eastAsia="Arial" w:cs="Times New Roman"/>
          <w:sz w:val="21"/>
          <w:szCs w:val="21"/>
        </w:rPr>
        <w:t>under policies set out in the Local Plan; or</w:t>
      </w:r>
    </w:p>
    <w:p>
      <w:pPr>
        <w:widowControl w:val="0"/>
        <w:autoSpaceDE w:val="0"/>
        <w:autoSpaceDN w:val="0"/>
        <w:rPr>
          <w:rFonts w:hint="default" w:ascii="Times New Roman" w:hAnsi="Times New Roman" w:eastAsia="Verdana" w:cs="Times New Roman"/>
          <w:sz w:val="21"/>
          <w:szCs w:val="21"/>
        </w:rPr>
      </w:pPr>
    </w:p>
    <w:p>
      <w:pPr>
        <w:shd w:val="solid" w:color="FFFFFF" w:fill="auto"/>
        <w:autoSpaceDN w:val="0"/>
        <w:jc w:val="both"/>
        <w:rPr>
          <w:rFonts w:hint="default" w:ascii="Times New Roman" w:hAnsi="Times New Roman" w:cs="Times New Roman"/>
          <w:b w:val="0"/>
          <w:i w:val="0"/>
          <w:color w:val="201F1E"/>
          <w:sz w:val="21"/>
          <w:szCs w:val="21"/>
          <w:shd w:val="clear" w:color="auto" w:fill="FFFFFF"/>
        </w:rPr>
      </w:pPr>
      <w:r>
        <w:rPr>
          <w:rFonts w:hint="default" w:ascii="Times New Roman" w:hAnsi="Times New Roman" w:cs="Times New Roman"/>
          <w:b w:val="0"/>
          <w:i w:val="0"/>
          <w:color w:val="201F1E"/>
          <w:sz w:val="21"/>
          <w:szCs w:val="21"/>
          <w:shd w:val="clear" w:color="auto" w:fill="FFFFFF"/>
          <w:lang w:val="en-UK"/>
        </w:rPr>
        <w:t xml:space="preserve">f) </w:t>
      </w:r>
      <w:r>
        <w:rPr>
          <w:rFonts w:hint="default" w:ascii="Times New Roman" w:hAnsi="Times New Roman" w:cs="Times New Roman"/>
          <w:b w:val="0"/>
          <w:i w:val="0"/>
          <w:color w:val="201F1E"/>
          <w:sz w:val="21"/>
          <w:szCs w:val="21"/>
          <w:shd w:val="clear" w:color="auto" w:fill="FFFFFF"/>
        </w:rPr>
        <w:t>limited affordable housing for local community needs under policies set out in the development plan (including policies for rural exception sites); and</w:t>
      </w:r>
    </w:p>
    <w:p>
      <w:pPr>
        <w:shd w:val="solid" w:color="FFFFFF" w:fill="auto"/>
        <w:autoSpaceDN w:val="0"/>
        <w:jc w:val="both"/>
        <w:rPr>
          <w:rFonts w:hint="default" w:ascii="Times New Roman" w:hAnsi="Times New Roman" w:cs="Times New Roman"/>
          <w:b w:val="0"/>
          <w:i w:val="0"/>
          <w:color w:val="201F1E"/>
          <w:sz w:val="21"/>
          <w:szCs w:val="21"/>
          <w:shd w:val="clear" w:color="auto" w:fill="FFFFFF"/>
        </w:rPr>
      </w:pPr>
    </w:p>
    <w:p>
      <w:pPr>
        <w:shd w:val="solid" w:color="FFFFFF" w:fill="auto"/>
        <w:autoSpaceDN w:val="0"/>
        <w:jc w:val="both"/>
        <w:rPr>
          <w:rFonts w:hint="default" w:ascii="Times New Roman" w:hAnsi="Times New Roman" w:cs="Times New Roman"/>
          <w:b/>
          <w:bCs/>
          <w:i w:val="0"/>
          <w:color w:val="201F1E"/>
          <w:sz w:val="21"/>
          <w:szCs w:val="21"/>
          <w:shd w:val="clear" w:color="auto" w:fill="FFFFFF"/>
        </w:rPr>
      </w:pPr>
      <w:r>
        <w:rPr>
          <w:rFonts w:hint="default" w:cs="Times New Roman"/>
          <w:b/>
          <w:bCs/>
          <w:i w:val="0"/>
          <w:color w:val="201F1E"/>
          <w:sz w:val="21"/>
          <w:szCs w:val="21"/>
          <w:shd w:val="clear" w:color="auto" w:fill="FFFFFF"/>
          <w:lang w:val="en-UK"/>
        </w:rPr>
        <w:t xml:space="preserve">g) </w:t>
      </w:r>
      <w:r>
        <w:rPr>
          <w:rFonts w:hint="default" w:ascii="Times New Roman" w:hAnsi="Times New Roman" w:cs="Times New Roman"/>
          <w:b/>
          <w:bCs/>
          <w:i w:val="0"/>
          <w:color w:val="201F1E"/>
          <w:sz w:val="21"/>
          <w:szCs w:val="21"/>
          <w:shd w:val="clear" w:color="auto" w:fill="FFFFFF"/>
        </w:rPr>
        <w:t>limited infilling or the partial or complete redevelopment of previously developed land, whether redundant or in continuing use (excluding temporary buildings), which would:</w:t>
      </w:r>
    </w:p>
    <w:p>
      <w:pPr>
        <w:shd w:val="solid" w:color="FFFFFF" w:fill="auto"/>
        <w:autoSpaceDN w:val="0"/>
        <w:ind w:left="1440" w:hanging="720"/>
        <w:jc w:val="both"/>
        <w:rPr>
          <w:rFonts w:hint="default" w:ascii="Times New Roman" w:hAnsi="Times New Roman" w:cs="Times New Roman"/>
          <w:b/>
          <w:bCs/>
          <w:i w:val="0"/>
          <w:color w:val="201F1E"/>
          <w:sz w:val="21"/>
          <w:szCs w:val="21"/>
          <w:shd w:val="clear" w:color="auto" w:fill="FFFFFF"/>
        </w:rPr>
      </w:pPr>
      <w:r>
        <w:rPr>
          <w:rFonts w:hint="default" w:ascii="Times New Roman" w:hAnsi="Times New Roman" w:cs="Times New Roman"/>
          <w:b/>
          <w:bCs/>
          <w:i w:val="0"/>
          <w:color w:val="201F1E"/>
          <w:sz w:val="21"/>
          <w:szCs w:val="21"/>
          <w:shd w:val="clear" w:color="auto" w:fill="FFFFFF"/>
        </w:rPr>
        <w:t>‒    not have a greater impact on the openness of the Green Belt than the existing development; or</w:t>
      </w:r>
    </w:p>
    <w:p>
      <w:pPr>
        <w:shd w:val="solid" w:color="FFFFFF" w:fill="auto"/>
        <w:autoSpaceDN w:val="0"/>
        <w:ind w:left="1440" w:hanging="720"/>
        <w:jc w:val="both"/>
        <w:rPr>
          <w:rFonts w:hint="default" w:ascii="Times New Roman" w:hAnsi="Times New Roman" w:cs="Times New Roman"/>
          <w:b/>
          <w:bCs/>
          <w:i w:val="0"/>
          <w:color w:val="201F1E"/>
          <w:sz w:val="21"/>
          <w:szCs w:val="21"/>
          <w:shd w:val="clear" w:color="auto" w:fill="FFFFFF"/>
        </w:rPr>
      </w:pPr>
      <w:r>
        <w:rPr>
          <w:rFonts w:hint="default" w:ascii="Times New Roman" w:hAnsi="Times New Roman" w:cs="Times New Roman"/>
          <w:b/>
          <w:bCs/>
          <w:i w:val="0"/>
          <w:color w:val="201F1E"/>
          <w:sz w:val="21"/>
          <w:szCs w:val="21"/>
          <w:shd w:val="clear" w:color="auto" w:fill="FFFFFF"/>
        </w:rPr>
        <w:t>‒   not cause substantial harm to the openness of the Green Belt, where the development would re-use previously developed land and contribute to meeting an identified affordable housing need within the area of the local planning authority.</w:t>
      </w:r>
    </w:p>
    <w:p>
      <w:pPr>
        <w:widowControl w:val="0"/>
        <w:autoSpaceDE w:val="0"/>
        <w:autoSpaceDN w:val="0"/>
        <w:rPr>
          <w:rFonts w:hint="default" w:ascii="Times New Roman" w:hAnsi="Times New Roman" w:eastAsia="Arial" w:cs="Times New Roman"/>
          <w:sz w:val="21"/>
          <w:szCs w:val="21"/>
        </w:rPr>
      </w:pPr>
    </w:p>
    <w:p>
      <w:pPr>
        <w:widowControl w:val="0"/>
        <w:autoSpaceDE w:val="0"/>
        <w:autoSpaceDN w:val="0"/>
        <w:rPr>
          <w:rFonts w:hint="default" w:eastAsia="Arial" w:cs="Times New Roman"/>
          <w:sz w:val="21"/>
          <w:szCs w:val="21"/>
          <w:lang w:val="en-UK"/>
        </w:rPr>
      </w:pPr>
      <w:r>
        <w:rPr>
          <w:rFonts w:hint="default" w:eastAsia="Arial" w:cs="Times New Roman"/>
          <w:sz w:val="21"/>
          <w:szCs w:val="21"/>
          <w:lang w:val="en-UK"/>
        </w:rPr>
        <w:t xml:space="preserve">It is important to note that at the time of writing the Green Belt Statement, it did not make any references to the consultation draft changes to the National Planning Policy Framework and the associated Ministerial Statement. The draft consultation provides a ‘direction of travel’ for policy. We note the change to the guidance relating to the </w:t>
      </w:r>
      <w:r>
        <w:rPr>
          <w:rFonts w:hint="default" w:eastAsia="Arial" w:cs="Times New Roman"/>
          <w:i/>
          <w:iCs/>
          <w:sz w:val="21"/>
          <w:szCs w:val="21"/>
          <w:lang w:val="en-UK"/>
        </w:rPr>
        <w:t>‘infilling or the partial or complete redevelopment of previously developed land’</w:t>
      </w:r>
      <w:r>
        <w:rPr>
          <w:rFonts w:hint="default" w:eastAsia="Arial" w:cs="Times New Roman"/>
          <w:sz w:val="21"/>
          <w:szCs w:val="21"/>
          <w:lang w:val="en-UK"/>
        </w:rPr>
        <w:t xml:space="preserve"> proposes no longer setting the test as being no </w:t>
      </w:r>
      <w:r>
        <w:rPr>
          <w:rFonts w:hint="default" w:eastAsia="Arial" w:cs="Times New Roman"/>
          <w:i/>
          <w:iCs/>
          <w:sz w:val="21"/>
          <w:szCs w:val="21"/>
          <w:lang w:val="en-UK"/>
        </w:rPr>
        <w:t>‘greater impact upon the openness of the Green Belt’</w:t>
      </w:r>
      <w:r>
        <w:rPr>
          <w:rFonts w:hint="default" w:eastAsia="Arial" w:cs="Times New Roman"/>
          <w:sz w:val="21"/>
          <w:szCs w:val="21"/>
          <w:lang w:val="en-UK"/>
        </w:rPr>
        <w:t xml:space="preserve"> rather that it would </w:t>
      </w:r>
      <w:r>
        <w:rPr>
          <w:rFonts w:hint="default" w:eastAsia="Arial" w:cs="Times New Roman"/>
          <w:i/>
          <w:iCs/>
          <w:sz w:val="21"/>
          <w:szCs w:val="21"/>
          <w:lang w:val="en-UK"/>
        </w:rPr>
        <w:t>‘not cause substantial harm to the openness of the Green Belt’</w:t>
      </w:r>
      <w:r>
        <w:rPr>
          <w:rFonts w:hint="default" w:eastAsia="Arial" w:cs="Times New Roman"/>
          <w:sz w:val="21"/>
          <w:szCs w:val="21"/>
          <w:lang w:val="en-UK"/>
        </w:rPr>
        <w:t>. This suggests that where a site is previously developed , as is the case with the application site, the impact upon the openness is a less significant consideration. This is of course entirely consistent with the assessment of harm to the five purposes of the Green Belt.</w:t>
      </w:r>
    </w:p>
    <w:p>
      <w:pPr>
        <w:widowControl w:val="0"/>
        <w:autoSpaceDE w:val="0"/>
        <w:autoSpaceDN w:val="0"/>
        <w:rPr>
          <w:rFonts w:hint="default" w:ascii="Times New Roman" w:hAnsi="Times New Roman" w:eastAsia="Arial" w:cs="Times New Roman"/>
          <w:sz w:val="21"/>
          <w:szCs w:val="21"/>
          <w:lang w:val="en-UK"/>
        </w:rPr>
      </w:pPr>
      <w:r>
        <w:rPr>
          <w:rFonts w:hint="default" w:eastAsia="Arial" w:cs="Times New Roman"/>
          <w:sz w:val="21"/>
          <w:szCs w:val="21"/>
          <w:lang w:val="en-UK"/>
        </w:rPr>
        <w:t xml:space="preserve"> </w:t>
      </w:r>
    </w:p>
    <w:p>
      <w:pPr>
        <w:widowControl w:val="0"/>
        <w:autoSpaceDE w:val="0"/>
        <w:autoSpaceDN w:val="0"/>
        <w:rPr>
          <w:rFonts w:hint="default" w:eastAsia="Arial" w:cs="Times New Roman"/>
          <w:sz w:val="21"/>
          <w:szCs w:val="21"/>
          <w:lang w:val="en-UK"/>
        </w:rPr>
      </w:pPr>
      <w:r>
        <w:rPr>
          <w:rFonts w:hint="default" w:ascii="Times New Roman" w:hAnsi="Times New Roman" w:eastAsia="Arial" w:cs="Times New Roman"/>
          <w:sz w:val="21"/>
          <w:szCs w:val="21"/>
        </w:rPr>
        <w:t xml:space="preserve">The erection of </w:t>
      </w:r>
      <w:r>
        <w:rPr>
          <w:rFonts w:hint="default" w:eastAsia="Arial" w:cs="Times New Roman"/>
          <w:sz w:val="21"/>
          <w:szCs w:val="21"/>
          <w:lang w:val="en-UK"/>
        </w:rPr>
        <w:t>the detached dwelling has already been established under the previous planning approval and there will therefore be no greater impact on the openness of the Green Belt in this respect.</w:t>
      </w:r>
    </w:p>
    <w:p>
      <w:pPr>
        <w:widowControl w:val="0"/>
        <w:autoSpaceDE w:val="0"/>
        <w:autoSpaceDN w:val="0"/>
        <w:rPr>
          <w:rFonts w:hint="default" w:eastAsia="Arial" w:cs="Times New Roman"/>
          <w:sz w:val="21"/>
          <w:szCs w:val="21"/>
          <w:lang w:val="en-UK"/>
        </w:rPr>
      </w:pPr>
    </w:p>
    <w:p>
      <w:pPr>
        <w:rPr>
          <w:rFonts w:hint="default" w:cs="Times New Roman"/>
          <w:sz w:val="21"/>
          <w:szCs w:val="21"/>
          <w:lang w:val="en-UK"/>
        </w:rPr>
      </w:pPr>
      <w:r>
        <w:rPr>
          <w:rFonts w:hint="default" w:cs="Times New Roman"/>
          <w:sz w:val="21"/>
          <w:szCs w:val="21"/>
          <w:lang w:val="en-UK"/>
        </w:rPr>
        <w:t>It is submitted that the proposal complies with criteria c) and g) above and the following is a comparison of existing and proposed floor areas and volumes.</w:t>
      </w:r>
    </w:p>
    <w:p>
      <w:pPr>
        <w:rPr>
          <w:rFonts w:hint="default" w:cs="Times New Roman"/>
          <w:sz w:val="21"/>
          <w:szCs w:val="21"/>
          <w:lang w:val="en-UK"/>
        </w:rPr>
      </w:pPr>
    </w:p>
    <w:p>
      <w:pPr>
        <w:rPr>
          <w:rFonts w:hint="default" w:cs="Times New Roman"/>
          <w:sz w:val="21"/>
          <w:szCs w:val="21"/>
          <w:lang w:val="en-UK"/>
        </w:rPr>
      </w:pPr>
      <w:r>
        <w:rPr>
          <w:rFonts w:hint="default" w:cs="Times New Roman"/>
          <w:sz w:val="21"/>
          <w:szCs w:val="21"/>
          <w:lang w:val="en-UK"/>
        </w:rPr>
        <w:t>Kennels and cattery</w:t>
      </w:r>
    </w:p>
    <w:p>
      <w:pPr>
        <w:rPr>
          <w:rFonts w:hint="default" w:cs="Times New Roman"/>
          <w:sz w:val="21"/>
          <w:szCs w:val="21"/>
          <w:lang w:val="en-UK"/>
        </w:rPr>
      </w:pPr>
    </w:p>
    <w:p>
      <w:pPr>
        <w:rPr>
          <w:rFonts w:hint="default" w:cs="Times New Roman"/>
          <w:sz w:val="21"/>
          <w:szCs w:val="21"/>
          <w:lang w:val="en-UK"/>
        </w:rPr>
      </w:pPr>
      <w:r>
        <w:rPr>
          <w:rFonts w:hint="default" w:cs="Times New Roman"/>
          <w:sz w:val="21"/>
          <w:szCs w:val="21"/>
          <w:lang w:val="en-UK"/>
        </w:rPr>
        <w:t>Existing footprint gross external area - 398 m2</w:t>
      </w:r>
      <w:bookmarkStart w:id="0" w:name="_GoBack"/>
      <w:bookmarkEnd w:id="0"/>
    </w:p>
    <w:p>
      <w:pPr>
        <w:rPr>
          <w:rFonts w:hint="default" w:cs="Times New Roman"/>
          <w:sz w:val="21"/>
          <w:szCs w:val="21"/>
          <w:lang w:val="en-UK"/>
        </w:rPr>
      </w:pPr>
      <w:r>
        <w:rPr>
          <w:rFonts w:hint="default" w:cs="Times New Roman"/>
          <w:sz w:val="21"/>
          <w:szCs w:val="21"/>
          <w:lang w:val="en-UK"/>
        </w:rPr>
        <w:t>Proposed footprint gross external area - 307.50 m2</w:t>
      </w:r>
    </w:p>
    <w:p>
      <w:pPr>
        <w:rPr>
          <w:rFonts w:hint="default" w:cs="Times New Roman"/>
          <w:sz w:val="21"/>
          <w:szCs w:val="21"/>
          <w:lang w:val="en-UK"/>
        </w:rPr>
      </w:pPr>
    </w:p>
    <w:p>
      <w:pPr>
        <w:rPr>
          <w:rFonts w:hint="default" w:cs="Times New Roman"/>
          <w:sz w:val="21"/>
          <w:szCs w:val="21"/>
          <w:lang w:val="en-UK"/>
        </w:rPr>
      </w:pPr>
      <w:r>
        <w:rPr>
          <w:rFonts w:hint="default" w:cs="Times New Roman"/>
          <w:sz w:val="21"/>
          <w:szCs w:val="21"/>
          <w:lang w:val="en-UK"/>
        </w:rPr>
        <w:t>Reduction in footprint - 90.50 m2 = 22.74%</w:t>
      </w:r>
    </w:p>
    <w:p>
      <w:pPr>
        <w:rPr>
          <w:rFonts w:hint="default" w:cs="Times New Roman"/>
          <w:sz w:val="21"/>
          <w:szCs w:val="21"/>
          <w:lang w:val="en-UK"/>
        </w:rPr>
      </w:pPr>
    </w:p>
    <w:p>
      <w:pPr>
        <w:rPr>
          <w:rFonts w:hint="default" w:cs="Times New Roman"/>
          <w:sz w:val="21"/>
          <w:szCs w:val="21"/>
          <w:lang w:val="en-UK"/>
        </w:rPr>
      </w:pPr>
      <w:r>
        <w:rPr>
          <w:rFonts w:hint="default" w:cs="Times New Roman"/>
          <w:sz w:val="21"/>
          <w:szCs w:val="21"/>
          <w:lang w:val="en-UK"/>
        </w:rPr>
        <w:t>Existing volume - 1409 m3 (measured at finished floor level)</w:t>
      </w:r>
    </w:p>
    <w:p>
      <w:pPr>
        <w:rPr>
          <w:rFonts w:hint="default" w:cs="Times New Roman"/>
          <w:sz w:val="21"/>
          <w:szCs w:val="21"/>
          <w:lang w:val="en-UK"/>
        </w:rPr>
      </w:pPr>
      <w:r>
        <w:rPr>
          <w:rFonts w:hint="default" w:cs="Times New Roman"/>
          <w:sz w:val="21"/>
          <w:szCs w:val="21"/>
          <w:lang w:val="en-UK"/>
        </w:rPr>
        <w:t>Proposed volume - 1584 m3 (measured at finished floor level)</w:t>
      </w:r>
    </w:p>
    <w:p>
      <w:pPr>
        <w:rPr>
          <w:rFonts w:hint="default" w:cs="Times New Roman"/>
          <w:sz w:val="21"/>
          <w:szCs w:val="21"/>
          <w:lang w:val="en-UK"/>
        </w:rPr>
      </w:pPr>
    </w:p>
    <w:p>
      <w:pPr>
        <w:rPr>
          <w:rFonts w:hint="default" w:cs="Times New Roman"/>
          <w:sz w:val="21"/>
          <w:szCs w:val="21"/>
          <w:lang w:val="en-UK"/>
        </w:rPr>
      </w:pPr>
      <w:r>
        <w:rPr>
          <w:rFonts w:hint="default" w:cs="Times New Roman"/>
          <w:sz w:val="21"/>
          <w:szCs w:val="21"/>
          <w:lang w:val="en-UK"/>
        </w:rPr>
        <w:t>Increase in volume - 175 m3 = 12.40%</w:t>
      </w:r>
    </w:p>
    <w:p>
      <w:pPr>
        <w:rPr>
          <w:rFonts w:hint="default" w:cs="Times New Roman"/>
          <w:sz w:val="21"/>
          <w:szCs w:val="21"/>
          <w:lang w:val="en-UK"/>
        </w:rPr>
      </w:pPr>
    </w:p>
    <w:p>
      <w:pPr>
        <w:rPr>
          <w:rFonts w:hint="default" w:cs="Times New Roman"/>
          <w:sz w:val="21"/>
          <w:szCs w:val="21"/>
          <w:lang w:val="en-UK"/>
        </w:rPr>
      </w:pPr>
      <w:r>
        <w:rPr>
          <w:rFonts w:hint="default" w:cs="Times New Roman"/>
          <w:sz w:val="21"/>
          <w:szCs w:val="21"/>
          <w:lang w:val="en-UK"/>
        </w:rPr>
        <w:t>The detached dwelling footprint and volume is unchanged from the previous approval and as such would not affect the openness of the Green Belt to any further extent.</w:t>
      </w:r>
    </w:p>
    <w:p>
      <w:pPr>
        <w:rPr>
          <w:rFonts w:hint="default" w:cs="Times New Roman"/>
          <w:sz w:val="21"/>
          <w:szCs w:val="21"/>
          <w:lang w:val="en-UK"/>
        </w:rPr>
      </w:pPr>
    </w:p>
    <w:p>
      <w:pPr>
        <w:rPr>
          <w:rFonts w:hint="default" w:cs="Times New Roman"/>
          <w:sz w:val="21"/>
          <w:szCs w:val="21"/>
          <w:lang w:val="en-UK"/>
        </w:rPr>
      </w:pPr>
      <w:r>
        <w:rPr>
          <w:rFonts w:hint="default" w:cs="Times New Roman"/>
          <w:sz w:val="21"/>
          <w:szCs w:val="21"/>
          <w:lang w:val="en-UK"/>
        </w:rPr>
        <w:t>It is clear therefore that the proposal does not exceed the generally accepted increase of 35% in volume or footprint for development in the Green Belt and will thus not be disproportionate and will not materially affect the openness of the Green Belt. The slight increase in height of the buildings is counterbalanced by the demolition of part of the existing buildings which in effect opens up the view between the retained buildings improving the ‘openness’.</w:t>
      </w:r>
    </w:p>
    <w:p/>
    <w:sectPr>
      <w:pgSz w:w="11849" w:h="16781"/>
      <w:pgMar w:top="1440" w:right="1117" w:bottom="1440" w:left="1117" w:header="1446" w:footer="1446" w:gutter="0"/>
      <w:paperSrc w:first="0" w:other="0"/>
      <w:cols w:space="720" w:num="1"/>
      <w:docGrid w:linePitch="2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SimHei">
    <w:altName w:val="SimSun"/>
    <w:panose1 w:val="02010600030101010101"/>
    <w:charset w:val="86"/>
    <w:family w:val="auto"/>
    <w:pitch w:val="default"/>
    <w:sig w:usb0="00000001" w:usb1="080E0000" w:usb2="00000000" w:usb3="00000000" w:csb0="00040000" w:csb1="00000000"/>
  </w:font>
  <w:font w:name="Verdana">
    <w:panose1 w:val="020B0604030504040204"/>
    <w:charset w:val="00"/>
    <w:family w:val="auto"/>
    <w:pitch w:val="default"/>
    <w:sig w:usb0="A00006FF" w:usb1="4000205B" w:usb2="00000010" w:usb3="00000000" w:csb0="2000019F" w:csb1="00000000"/>
  </w:font>
  <w:font w:name="Arial,Bold">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inherit">
    <w:altName w:val="Microsoft YaHei"/>
    <w:panose1 w:val="00000000000000000000"/>
    <w:charset w:val="01"/>
    <w:family w:val="auto"/>
    <w:pitch w:val="default"/>
    <w:sig w:usb0="00000000" w:usb1="00000000" w:usb2="00000000" w:usb3="00000000" w:csb0="00040001"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nhideWhenUsed="0" w:uiPriority="0" w:name="toc 1"/>
    <w:lsdException w:unhideWhenUsed="0" w:uiPriority="0" w:name="toc 2"/>
    <w:lsdException w:unhideWhenUsed="0" w:uiPriority="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unhideWhenUsed="0" w:uiPriority="0" w:semiHidden="0" w:name="Normal Indent"/>
    <w:lsdException w:unhideWhenUsed="0" w:uiPriority="0" w:name="footnote text"/>
    <w:lsdException w:unhideWhenUsed="0" w:uiPriority="0" w:name="annotation text"/>
    <w:lsdException w:unhideWhenUsed="0" w:uiPriority="0" w:semiHidden="0" w:name="header"/>
    <w:lsdException w:unhideWhenUsed="0" w:uiPriority="0" w:semiHidden="0" w:name="footer"/>
    <w:lsdException w:unhideWhenUsed="0" w:uiPriority="0" w:name="index heading"/>
    <w:lsdException w:unhideWhenUsed="0" w:uiPriority="0" w:name="caption"/>
    <w:lsdException w:unhideWhenUsed="0" w:uiPriority="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name="endnote reference"/>
    <w:lsdException w:unhideWhenUsed="0" w:uiPriority="0" w:name="endnote text"/>
    <w:lsdException w:unhideWhenUsed="0" w:uiPriority="0" w:name="table of authorities"/>
    <w:lsdException w:unhideWhenUsed="0" w:uiPriority="0" w:name="macro"/>
    <w:lsdException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annotation subject"/>
    <w:lsdException w:unhideWhenUsed="0" w:uiPriority="0" w:name="Balloon Text"/>
  </w:latentStyles>
  <w:style w:type="paragraph" w:default="1" w:styleId="1">
    <w:name w:val="Normal"/>
    <w:uiPriority w:val="0"/>
    <w:pPr>
      <w:jc w:val="both"/>
    </w:pPr>
    <w:rPr>
      <w:rFonts w:ascii="Times New Roman" w:hAnsi="Times New Roman" w:eastAsia="SimSun" w:cs="Times New Roman"/>
      <w:kern w:val="2"/>
      <w:sz w:val="21"/>
      <w:lang w:val="en-US" w:eastAsia="zh-CN" w:bidi="ar-SA"/>
    </w:rPr>
  </w:style>
  <w:style w:type="paragraph" w:styleId="2">
    <w:name w:val="heading 1"/>
    <w:basedOn w:val="1"/>
    <w:next w:val="1"/>
    <w:uiPriority w:val="0"/>
    <w:pPr>
      <w:keepNext/>
      <w:keepLines/>
      <w:spacing w:before="240" w:beforeAutospacing="0" w:after="60" w:afterAutospacing="0" w:line="240" w:lineRule="auto"/>
      <w:outlineLvl w:val="0"/>
    </w:pPr>
    <w:rPr>
      <w:rFonts w:ascii="Arial" w:hAnsi="Arial"/>
      <w:b/>
      <w:kern w:val="44"/>
      <w:sz w:val="32"/>
    </w:rPr>
  </w:style>
  <w:style w:type="paragraph" w:styleId="3">
    <w:name w:val="heading 2"/>
    <w:basedOn w:val="1"/>
    <w:next w:val="1"/>
    <w:uiPriority w:val="0"/>
    <w:pPr>
      <w:keepNext/>
      <w:keepLines/>
      <w:spacing w:before="240" w:beforeAutospacing="0" w:after="60" w:afterAutospacing="0" w:line="240" w:lineRule="auto"/>
      <w:outlineLvl w:val="1"/>
    </w:pPr>
    <w:rPr>
      <w:rFonts w:ascii="Arial" w:hAnsi="Arial"/>
      <w:b/>
      <w:i/>
      <w:sz w:val="28"/>
    </w:rPr>
  </w:style>
  <w:style w:type="paragraph" w:styleId="4">
    <w:name w:val="heading 3"/>
    <w:basedOn w:val="1"/>
    <w:next w:val="1"/>
    <w:uiPriority w:val="0"/>
    <w:pPr>
      <w:keepNext/>
      <w:keepLines/>
      <w:spacing w:before="240" w:beforeAutospacing="0" w:after="60" w:afterAutospacing="0" w:line="240" w:lineRule="auto"/>
      <w:outlineLvl w:val="2"/>
    </w:pPr>
    <w:rPr>
      <w:rFonts w:ascii="Arial" w:hAnsi="Arial"/>
      <w:b/>
      <w:sz w:val="26"/>
    </w:rPr>
  </w:style>
  <w:style w:type="paragraph" w:styleId="5">
    <w:name w:val="heading 4"/>
    <w:basedOn w:val="1"/>
    <w:next w:val="1"/>
    <w:uiPriority w:val="0"/>
    <w:pPr>
      <w:keepNext/>
      <w:keepLines/>
      <w:spacing w:before="240" w:beforeAutospacing="0" w:after="60" w:afterAutospacing="0" w:line="240" w:lineRule="auto"/>
      <w:outlineLvl w:val="3"/>
    </w:pPr>
    <w:rPr>
      <w:rFonts w:ascii="Times New Roman" w:hAnsi="Times New Roman"/>
      <w:b/>
      <w:sz w:val="28"/>
    </w:rPr>
  </w:style>
  <w:style w:type="paragraph" w:styleId="6">
    <w:name w:val="heading 5"/>
    <w:basedOn w:val="1"/>
    <w:next w:val="1"/>
    <w:uiPriority w:val="0"/>
    <w:pPr>
      <w:keepNext/>
      <w:keepLines/>
      <w:spacing w:before="240" w:beforeAutospacing="0" w:after="60" w:afterAutospacing="0" w:line="240" w:lineRule="auto"/>
      <w:outlineLvl w:val="4"/>
    </w:pPr>
    <w:rPr>
      <w:b/>
      <w:i/>
      <w:sz w:val="26"/>
    </w:rPr>
  </w:style>
  <w:style w:type="paragraph" w:styleId="7">
    <w:name w:val="heading 6"/>
    <w:basedOn w:val="1"/>
    <w:next w:val="1"/>
    <w:uiPriority w:val="0"/>
    <w:pPr>
      <w:keepNext/>
      <w:keepLines/>
      <w:spacing w:before="240" w:beforeAutospacing="0" w:after="60" w:afterAutospacing="0" w:line="240" w:lineRule="auto"/>
      <w:outlineLvl w:val="5"/>
    </w:pPr>
    <w:rPr>
      <w:rFonts w:ascii="Times New Roman" w:hAnsi="Times New Roman"/>
      <w:b/>
      <w:sz w:val="22"/>
    </w:rPr>
  </w:style>
  <w:style w:type="paragraph" w:styleId="8">
    <w:name w:val="heading 7"/>
    <w:basedOn w:val="1"/>
    <w:next w:val="1"/>
    <w:uiPriority w:val="0"/>
    <w:pPr>
      <w:keepNext/>
      <w:keepLines/>
      <w:spacing w:before="240" w:beforeAutospacing="0" w:after="60" w:afterAutospacing="0" w:line="240" w:lineRule="auto"/>
      <w:outlineLvl w:val="6"/>
    </w:pPr>
    <w:rPr>
      <w:sz w:val="24"/>
    </w:rPr>
  </w:style>
  <w:style w:type="paragraph" w:styleId="9">
    <w:name w:val="heading 8"/>
    <w:basedOn w:val="1"/>
    <w:next w:val="1"/>
    <w:uiPriority w:val="0"/>
    <w:pPr>
      <w:keepNext/>
      <w:keepLines/>
      <w:spacing w:before="240" w:beforeAutospacing="0" w:after="60" w:afterAutospacing="0" w:line="240" w:lineRule="auto"/>
      <w:outlineLvl w:val="7"/>
    </w:pPr>
    <w:rPr>
      <w:rFonts w:ascii="Times New Roman" w:hAnsi="Times New Roman"/>
      <w:i/>
      <w:sz w:val="24"/>
    </w:rPr>
  </w:style>
  <w:style w:type="paragraph" w:styleId="10">
    <w:name w:val="heading 9"/>
    <w:basedOn w:val="1"/>
    <w:next w:val="1"/>
    <w:uiPriority w:val="0"/>
    <w:pPr>
      <w:keepNext/>
      <w:keepLines/>
      <w:spacing w:before="240" w:beforeAutospacing="0" w:after="60" w:afterAutospacing="0" w:line="240" w:lineRule="auto"/>
      <w:outlineLvl w:val="8"/>
    </w:pPr>
    <w:rPr>
      <w:rFonts w:ascii="Arial" w:hAnsi="Arial"/>
      <w:sz w:val="22"/>
    </w:rPr>
  </w:style>
  <w:style w:type="character" w:default="1" w:styleId="13">
    <w:name w:val="Default Paragraph Font"/>
    <w:uiPriority w:val="0"/>
  </w:style>
  <w:style w:type="paragraph" w:styleId="11">
    <w:name w:val="footer"/>
    <w:basedOn w:val="1"/>
    <w:uiPriority w:val="0"/>
    <w:pPr>
      <w:tabs>
        <w:tab w:val="center" w:pos="4153"/>
        <w:tab w:val="right" w:pos="8306"/>
      </w:tabs>
      <w:snapToGrid w:val="0"/>
      <w:jc w:val="left"/>
    </w:pPr>
    <w:rPr>
      <w:sz w:val="18"/>
      <w:szCs w:val="18"/>
    </w:rPr>
  </w:style>
  <w:style w:type="paragraph" w:styleId="12">
    <w:name w:val="header"/>
    <w:basedOn w:val="1"/>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1</Pages>
  <Words>0</Words>
  <Characters>0</Characters>
  <Lines>1</Lines>
  <Paragraphs>1</Paragraphs>
  <ScaleCrop>false</ScaleCrop>
  <LinksUpToDate>false</LinksUpToDate>
  <CharactersWithSpaces>0</CharactersWithSpaces>
  <Application>Kingsoft Office_9.1.0.4550_{F1E327BC-269C-435d-A152-05C5408002CA}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2010-05-06T13:11:00Z</dcterms:created>
  <dc:creator>Malcolm Percy</dc:creator>
  <cp:lastModifiedBy>Malcolm Percy</cp:lastModifiedBy>
  <cp:lastPrinted>2411-12-30T00:00:00Z</cp:lastPrinted>
  <dcterms:modified xsi:type="dcterms:W3CDTF">2025-02-10T14:25:04Z</dcterms:modified>
  <dc:title>Green Belt Statement</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