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bCs/>
          <w:i/>
          <w:iCs/>
          <w:u w:val="single" w:color="auto"/>
          <w:lang w:val="en-UK"/>
        </w:rPr>
      </w:pPr>
      <w:r>
        <w:rPr>
          <w:b/>
          <w:bCs/>
          <w:i/>
          <w:iCs/>
          <w:u w:val="single" w:color="auto"/>
          <w:lang w:val="en-UK"/>
        </w:rPr>
        <w:t>Design and Access Statement for erection of single storey detached agricultural storage building at Brown Hill Farm, Rooley Moor Road, Rochdale, OL12 6BN.</w:t>
      </w:r>
    </w:p>
    <w:p>
      <w:pPr>
        <w:rPr>
          <w:lang w:val="en-UK"/>
        </w:rPr>
      </w:pPr>
    </w:p>
    <w:p>
      <w:pPr>
        <w:rPr>
          <w:lang w:val="en-UK"/>
        </w:rPr>
      </w:pPr>
    </w:p>
    <w:p>
      <w:pPr>
        <w:rPr>
          <w:b/>
          <w:bCs/>
          <w:u w:val="single" w:color="auto"/>
          <w:lang w:val="en-UK"/>
        </w:rPr>
      </w:pPr>
      <w:r>
        <w:rPr>
          <w:b/>
          <w:bCs/>
          <w:u w:val="single" w:color="auto"/>
          <w:lang w:val="en-UK"/>
        </w:rPr>
        <w:t>SITE</w:t>
      </w:r>
    </w:p>
    <w:p>
      <w:pPr>
        <w:rPr>
          <w:lang w:val="en-UK"/>
        </w:rPr>
      </w:pPr>
    </w:p>
    <w:p>
      <w:pPr>
        <w:rPr>
          <w:lang w:val="en-UK"/>
        </w:rPr>
      </w:pPr>
      <w:r>
        <w:rPr>
          <w:lang w:val="en-UK"/>
        </w:rPr>
        <w:t>The development site comprises a very small part of a larger agricultural holding and is to the west of, adjacent to, and at a higher level than Rooley Moor Road. Brown Hill Farm is generally a sheep farm with ancillary hay making taking place. The existing portal framed buildings are used for equestrian purposes.</w:t>
      </w:r>
    </w:p>
    <w:p>
      <w:pPr>
        <w:rPr>
          <w:lang w:val="en-UK"/>
        </w:rPr>
      </w:pPr>
    </w:p>
    <w:p>
      <w:pPr>
        <w:rPr>
          <w:rFonts w:hint="default"/>
          <w:sz w:val="24"/>
        </w:rPr>
      </w:pPr>
      <w:r>
        <w:rPr>
          <w:rFonts w:hint="default"/>
          <w:sz w:val="24"/>
          <w:lang w:val="en-UK"/>
        </w:rPr>
        <w:t>The submitted</w:t>
      </w:r>
      <w:r>
        <w:rPr>
          <w:rFonts w:hint="default"/>
          <w:sz w:val="24"/>
        </w:rPr>
        <w:t xml:space="preserve"> plan</w:t>
      </w:r>
      <w:r>
        <w:rPr>
          <w:rFonts w:hint="default"/>
          <w:sz w:val="24"/>
          <w:lang w:val="en-UK"/>
        </w:rPr>
        <w:t>s</w:t>
      </w:r>
      <w:r>
        <w:rPr>
          <w:rFonts w:hint="default"/>
          <w:sz w:val="24"/>
        </w:rPr>
        <w:t xml:space="preserve"> now detail the uses of the existing buildings. As you will see the majority have equestrian uses with only the ground floor of the northerly hay loft being used for storage of an old tractor</w:t>
      </w:r>
      <w:r>
        <w:rPr>
          <w:rFonts w:hint="default"/>
          <w:sz w:val="24"/>
          <w:lang w:val="en-UK"/>
        </w:rPr>
        <w:t xml:space="preserve"> and the previously approved small vehicle storage building</w:t>
      </w:r>
      <w:r>
        <w:rPr>
          <w:rFonts w:hint="default"/>
          <w:sz w:val="24"/>
        </w:rPr>
        <w:t xml:space="preserve">. As previously submitted, the farm has been operating as a sheep farm for over 100 years and the previous planning approval for equestrian use did not expunge this. Over the year the number of sheep can vary from 100 to over 300 dependent upon the lambing season, rearing, selling and ultimate slaughter. In addition the applicant owns a further 15 hectares to the east of Rooley Moor Road. The applicant currently stores machines and equipment outside and undercover on adjacent farm holdings. Please find attached the following corroborating information - </w:t>
      </w:r>
    </w:p>
    <w:p>
      <w:pPr>
        <w:rPr>
          <w:rFonts w:hint="default"/>
          <w:sz w:val="24"/>
        </w:rPr>
      </w:pPr>
    </w:p>
    <w:p>
      <w:pPr>
        <w:rPr>
          <w:rFonts w:hint="default"/>
          <w:sz w:val="24"/>
        </w:rPr>
      </w:pPr>
      <w:r>
        <w:rPr>
          <w:rFonts w:hint="default"/>
          <w:sz w:val="24"/>
        </w:rPr>
        <w:t xml:space="preserve">1 - Rural Land Register Map showing applicant's land ownership. </w:t>
      </w:r>
    </w:p>
    <w:p>
      <w:pPr>
        <w:rPr>
          <w:rFonts w:hint="default"/>
          <w:sz w:val="24"/>
        </w:rPr>
      </w:pPr>
      <w:r>
        <w:rPr>
          <w:rFonts w:hint="default"/>
          <w:sz w:val="24"/>
        </w:rPr>
        <w:t xml:space="preserve">2 - Copy of letter from WBW Chartered Surveyors in respect of the submission of a Basic Payment Scheme to the Rural Payments Agency </w:t>
      </w:r>
    </w:p>
    <w:p>
      <w:pPr>
        <w:rPr>
          <w:rFonts w:hint="default"/>
          <w:sz w:val="24"/>
        </w:rPr>
      </w:pPr>
      <w:r>
        <w:rPr>
          <w:rFonts w:hint="default"/>
          <w:sz w:val="24"/>
        </w:rPr>
        <w:t xml:space="preserve">3 - Copy of Brown Hill Farm letterhead </w:t>
      </w:r>
    </w:p>
    <w:p>
      <w:pPr>
        <w:rPr>
          <w:rFonts w:hint="default"/>
          <w:sz w:val="24"/>
        </w:rPr>
      </w:pPr>
      <w:r>
        <w:rPr>
          <w:rFonts w:hint="default"/>
          <w:sz w:val="24"/>
        </w:rPr>
        <w:t xml:space="preserve">4 - Copy of Lanehead Stables letterhead </w:t>
      </w:r>
    </w:p>
    <w:p>
      <w:pPr>
        <w:rPr>
          <w:rFonts w:hint="default"/>
          <w:sz w:val="24"/>
        </w:rPr>
      </w:pPr>
      <w:r>
        <w:rPr>
          <w:rFonts w:hint="default"/>
          <w:sz w:val="24"/>
        </w:rPr>
        <w:t xml:space="preserve">5 - Copy of letter from accountant </w:t>
      </w:r>
    </w:p>
    <w:p>
      <w:pPr>
        <w:rPr>
          <w:rFonts w:hint="default"/>
          <w:sz w:val="24"/>
        </w:rPr>
      </w:pPr>
      <w:r>
        <w:rPr>
          <w:rFonts w:hint="default"/>
          <w:sz w:val="24"/>
        </w:rPr>
        <w:t xml:space="preserve">6 - Copy of letter from vet </w:t>
      </w:r>
    </w:p>
    <w:p>
      <w:pPr>
        <w:rPr>
          <w:rFonts w:hint="default"/>
          <w:sz w:val="24"/>
        </w:rPr>
      </w:pPr>
      <w:r>
        <w:rPr>
          <w:rFonts w:hint="default"/>
          <w:sz w:val="24"/>
        </w:rPr>
        <w:t xml:space="preserve">7 - Copy of letter from auction house </w:t>
      </w:r>
    </w:p>
    <w:p>
      <w:pPr>
        <w:rPr>
          <w:rFonts w:hint="default"/>
          <w:sz w:val="24"/>
        </w:rPr>
      </w:pPr>
      <w:r>
        <w:rPr>
          <w:rFonts w:hint="default"/>
          <w:sz w:val="24"/>
        </w:rPr>
        <w:t>8 - Existing site plan showing building uses</w:t>
      </w:r>
    </w:p>
    <w:p>
      <w:pPr>
        <w:rPr>
          <w:rFonts w:hint="default"/>
          <w:sz w:val="24"/>
          <w:lang w:val="en-UK"/>
        </w:rPr>
      </w:pPr>
      <w:r>
        <w:rPr>
          <w:rFonts w:hint="default"/>
          <w:sz w:val="24"/>
          <w:lang w:val="en-UK"/>
        </w:rPr>
        <w:t>9 - Copy of officer’s report for application reference 19/00201/FUL stating that it had been proven that the site has an agricultural use.</w:t>
      </w:r>
    </w:p>
    <w:p>
      <w:pPr>
        <w:rPr>
          <w:lang w:val="en-UK"/>
        </w:rPr>
      </w:pPr>
    </w:p>
    <w:p>
      <w:pPr>
        <w:rPr>
          <w:lang w:val="en-UK"/>
        </w:rPr>
      </w:pPr>
      <w:r>
        <w:rPr>
          <w:lang w:val="en-UK"/>
        </w:rPr>
        <w:t>The development site is immediately adjacent to the existing portal framed building used for stabling.</w:t>
      </w:r>
    </w:p>
    <w:p>
      <w:pPr>
        <w:rPr>
          <w:lang w:val="en-UK"/>
        </w:rPr>
      </w:pPr>
    </w:p>
    <w:p>
      <w:pPr>
        <w:rPr>
          <w:lang w:val="en-UK"/>
        </w:rPr>
      </w:pPr>
      <w:r>
        <w:rPr>
          <w:lang w:val="en-UK"/>
        </w:rPr>
        <w:t>The site is designated as Green Belt in the council</w:t>
      </w:r>
      <w:r>
        <w:rPr>
          <w:rFonts w:hint="default"/>
          <w:lang w:val="en-UK"/>
        </w:rPr>
        <w:t xml:space="preserve">’s </w:t>
      </w:r>
      <w:r>
        <w:rPr>
          <w:lang w:val="en-UK"/>
        </w:rPr>
        <w:t>adopted UDP but outside the Catley Lane Head Conservation Area.</w:t>
      </w:r>
    </w:p>
    <w:p>
      <w:pPr>
        <w:rPr>
          <w:lang w:val="en-UK"/>
        </w:rPr>
      </w:pPr>
    </w:p>
    <w:p>
      <w:pPr>
        <w:rPr>
          <w:b/>
          <w:bCs/>
          <w:u w:val="single" w:color="auto"/>
          <w:lang w:val="en-UK"/>
        </w:rPr>
      </w:pPr>
      <w:r>
        <w:rPr>
          <w:b/>
          <w:bCs/>
          <w:u w:val="single" w:color="auto"/>
          <w:lang w:val="en-UK"/>
        </w:rPr>
        <w:t>PROPOSAL</w:t>
      </w:r>
    </w:p>
    <w:p>
      <w:pPr>
        <w:rPr>
          <w:lang w:val="en-UK"/>
        </w:rPr>
      </w:pPr>
    </w:p>
    <w:p>
      <w:pPr>
        <w:rPr>
          <w:lang w:val="en-UK"/>
        </w:rPr>
      </w:pPr>
      <w:r>
        <w:rPr>
          <w:lang w:val="en-UK"/>
        </w:rPr>
        <w:t>The single storey building has an external floor area of 375 square metres with a dual pitched roof with an eaves height of 4.0 metres and a ridge height of 7 metres.</w:t>
      </w:r>
    </w:p>
    <w:p>
      <w:pPr>
        <w:rPr>
          <w:lang w:val="en-UK"/>
        </w:rPr>
      </w:pPr>
    </w:p>
    <w:p>
      <w:pPr>
        <w:rPr>
          <w:rFonts w:hint="default"/>
          <w:lang w:val="en-UK"/>
        </w:rPr>
      </w:pPr>
      <w:r>
        <w:rPr>
          <w:lang w:val="en-UK"/>
        </w:rPr>
        <w:t>The construction will comprise concrete base panels with timber vertical boarding</w:t>
      </w:r>
      <w:r>
        <w:rPr>
          <w:rFonts w:hint="default"/>
          <w:lang w:val="en-UK"/>
        </w:rPr>
        <w:t xml:space="preserve"> walls and ‘Big 6’ corrugated fibre cement roof cladding.</w:t>
      </w:r>
    </w:p>
    <w:p>
      <w:pPr>
        <w:rPr>
          <w:rFonts w:hint="default"/>
          <w:lang w:val="en-UK"/>
        </w:rPr>
      </w:pPr>
    </w:p>
    <w:p>
      <w:pPr>
        <w:rPr>
          <w:rFonts w:hint="default"/>
          <w:b/>
          <w:bCs/>
          <w:u w:val="single" w:color="auto"/>
          <w:lang w:val="en-UK"/>
        </w:rPr>
      </w:pPr>
      <w:r>
        <w:rPr>
          <w:rFonts w:hint="default"/>
          <w:b/>
          <w:bCs/>
          <w:u w:val="single" w:color="auto"/>
          <w:lang w:val="en-UK"/>
        </w:rPr>
        <w:t>APPEARANCE</w:t>
      </w:r>
    </w:p>
    <w:p>
      <w:pPr>
        <w:rPr>
          <w:rFonts w:hint="default"/>
          <w:lang w:val="en-UK"/>
        </w:rPr>
      </w:pPr>
    </w:p>
    <w:p>
      <w:pPr>
        <w:rPr>
          <w:rFonts w:hint="default"/>
          <w:lang w:val="en-UK"/>
        </w:rPr>
      </w:pPr>
      <w:r>
        <w:rPr>
          <w:rFonts w:hint="default"/>
          <w:lang w:val="en-UK"/>
        </w:rPr>
        <w:t>The design and appearance is commensurate with the adjacent building and typical of an agricultural storage building other than the installation of solar panels to the south east facing roof slope.</w:t>
      </w:r>
    </w:p>
    <w:p>
      <w:pPr>
        <w:rPr>
          <w:rFonts w:hint="default"/>
          <w:lang w:val="en-UK"/>
        </w:rPr>
      </w:pPr>
    </w:p>
    <w:p>
      <w:pPr>
        <w:rPr>
          <w:rFonts w:hint="default" w:ascii="Times New Roman" w:hAnsi="Times New Roman" w:cs="Times New Roman"/>
          <w:sz w:val="24"/>
          <w:szCs w:val="24"/>
          <w:lang w:val="en-UK"/>
        </w:rPr>
      </w:pPr>
      <w:r>
        <w:rPr>
          <w:rFonts w:hint="default"/>
          <w:b/>
          <w:bCs/>
          <w:u w:val="single" w:color="auto"/>
          <w:lang w:val="en-UK"/>
        </w:rPr>
        <w:t>USE</w:t>
      </w:r>
    </w:p>
    <w:p>
      <w:pPr>
        <w:rPr>
          <w:rFonts w:hint="default"/>
          <w:lang w:val="en-UK"/>
        </w:rPr>
      </w:pPr>
    </w:p>
    <w:p>
      <w:pPr>
        <w:widowControl w:val="0"/>
        <w:autoSpaceDE w:val="0"/>
        <w:autoSpaceDN w:val="0"/>
        <w:rPr>
          <w:rFonts w:hint="default" w:ascii="Times New Roman" w:hAnsi="Times New Roman" w:eastAsia="CIDFont+F2" w:cs="Times New Roman"/>
          <w:sz w:val="24"/>
          <w:szCs w:val="24"/>
        </w:rPr>
      </w:pPr>
      <w:r>
        <w:rPr>
          <w:rFonts w:hint="default" w:ascii="Times New Roman" w:hAnsi="Times New Roman" w:eastAsia="CIDFont+F2" w:cs="Times New Roman"/>
          <w:sz w:val="24"/>
          <w:szCs w:val="24"/>
        </w:rPr>
        <w:t>The application is for prior notification for the erection of an agricultural building</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under Schedule 2 Part 6 Class A (Agricultural Development on Units of 5 Hectares or</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 xml:space="preserve">more) of The Town and </w:t>
      </w:r>
      <w:r>
        <w:rPr>
          <w:rFonts w:hint="default" w:eastAsia="CIDFont+F2" w:cs="Times New Roman"/>
          <w:sz w:val="24"/>
          <w:szCs w:val="24"/>
          <w:lang w:val="en-UK"/>
        </w:rPr>
        <w:t xml:space="preserve"> C</w:t>
      </w:r>
      <w:r>
        <w:rPr>
          <w:rFonts w:hint="default" w:ascii="Times New Roman" w:hAnsi="Times New Roman" w:eastAsia="CIDFont+F2" w:cs="Times New Roman"/>
          <w:sz w:val="24"/>
          <w:szCs w:val="24"/>
        </w:rPr>
        <w:t>ountry Planning (General Permitted Development)</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(England) Order 2015 (as amended).</w:t>
      </w:r>
    </w:p>
    <w:p>
      <w:pPr>
        <w:widowControl w:val="0"/>
        <w:autoSpaceDE w:val="0"/>
        <w:autoSpaceDN w:val="0"/>
        <w:rPr>
          <w:rFonts w:hint="default" w:ascii="Times New Roman" w:hAnsi="Times New Roman" w:eastAsia="CIDFont+F2" w:cs="Times New Roman"/>
          <w:sz w:val="24"/>
          <w:szCs w:val="24"/>
        </w:rPr>
      </w:pPr>
    </w:p>
    <w:p>
      <w:pPr>
        <w:widowControl w:val="0"/>
        <w:autoSpaceDE w:val="0"/>
        <w:autoSpaceDN w:val="0"/>
        <w:rPr>
          <w:rFonts w:hint="default" w:ascii="Times New Roman" w:hAnsi="Times New Roman" w:eastAsia="CIDFont+F2" w:cs="Times New Roman"/>
          <w:sz w:val="24"/>
          <w:szCs w:val="24"/>
        </w:rPr>
      </w:pPr>
      <w:r>
        <w:rPr>
          <w:rFonts w:hint="default" w:ascii="Times New Roman" w:hAnsi="Times New Roman" w:eastAsia="CIDFont+F2" w:cs="Times New Roman"/>
          <w:sz w:val="24"/>
          <w:szCs w:val="24"/>
        </w:rPr>
        <w:t>Compliance under Part 6 Class A of the GPDO</w:t>
      </w:r>
    </w:p>
    <w:p>
      <w:pPr>
        <w:widowControl w:val="0"/>
        <w:autoSpaceDE w:val="0"/>
        <w:autoSpaceDN w:val="0"/>
        <w:rPr>
          <w:rFonts w:hint="default" w:ascii="Times New Roman" w:hAnsi="Times New Roman" w:eastAsia="CIDFont+F2" w:cs="Times New Roman"/>
          <w:sz w:val="24"/>
          <w:szCs w:val="24"/>
        </w:rPr>
      </w:pPr>
    </w:p>
    <w:p>
      <w:pPr>
        <w:widowControl w:val="0"/>
        <w:autoSpaceDE w:val="0"/>
        <w:autoSpaceDN w:val="0"/>
        <w:rPr>
          <w:rFonts w:hint="default" w:ascii="Times New Roman" w:hAnsi="Times New Roman" w:eastAsia="CIDFont+F2" w:cs="Times New Roman"/>
          <w:sz w:val="24"/>
          <w:szCs w:val="24"/>
        </w:rPr>
      </w:pPr>
      <w:r>
        <w:rPr>
          <w:rFonts w:hint="default" w:ascii="Times New Roman" w:hAnsi="Times New Roman" w:eastAsia="CIDFont+F2" w:cs="Times New Roman"/>
          <w:sz w:val="24"/>
          <w:szCs w:val="24"/>
        </w:rPr>
        <w:t>In order to benefit from prior notification process under Part 6 Class A, the proposed</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development must be carried out on agricultural land comprising an agricultural unit</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of 5 hectares or more in area, and must be reasonably necessary for purposes of</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agriculture.</w:t>
      </w:r>
    </w:p>
    <w:p>
      <w:pPr>
        <w:widowControl w:val="0"/>
        <w:autoSpaceDE w:val="0"/>
        <w:autoSpaceDN w:val="0"/>
        <w:rPr>
          <w:rFonts w:hint="default" w:ascii="Times New Roman" w:hAnsi="Times New Roman" w:eastAsia="CIDFont+F2" w:cs="Times New Roman"/>
          <w:sz w:val="24"/>
          <w:szCs w:val="24"/>
        </w:rPr>
      </w:pPr>
    </w:p>
    <w:p>
      <w:pPr>
        <w:widowControl w:val="0"/>
        <w:autoSpaceDE w:val="0"/>
        <w:autoSpaceDN w:val="0"/>
        <w:rPr>
          <w:rFonts w:hint="default" w:eastAsia="CIDFont+F2" w:cs="Times New Roman"/>
          <w:sz w:val="24"/>
          <w:szCs w:val="24"/>
          <w:lang w:val="en-UK"/>
        </w:rPr>
      </w:pPr>
      <w:r>
        <w:rPr>
          <w:rFonts w:hint="default" w:eastAsia="CIDFont+F2" w:cs="Times New Roman"/>
          <w:sz w:val="24"/>
          <w:szCs w:val="24"/>
          <w:lang w:val="en-UK"/>
        </w:rPr>
        <w:t>The officer’s report supporting a previously approved planning application reference 19/00201/FUL for the application site states -</w:t>
      </w:r>
    </w:p>
    <w:p>
      <w:pPr>
        <w:widowControl w:val="0"/>
        <w:autoSpaceDE w:val="0"/>
        <w:autoSpaceDN w:val="0"/>
        <w:rPr>
          <w:rFonts w:hint="default" w:eastAsia="CIDFont+F2" w:cs="Times New Roman"/>
          <w:sz w:val="24"/>
          <w:szCs w:val="24"/>
          <w:lang w:val="en-UK"/>
        </w:rPr>
      </w:pPr>
    </w:p>
    <w:p>
      <w:pPr>
        <w:widowControl w:val="0"/>
        <w:autoSpaceDE w:val="0"/>
        <w:autoSpaceDN w:val="0"/>
        <w:rPr>
          <w:rFonts w:hint="default" w:ascii="Times New Roman" w:hAnsi="Times New Roman" w:eastAsia="Arial" w:cs="Times New Roman"/>
          <w:i/>
          <w:iCs/>
          <w:sz w:val="24"/>
          <w:szCs w:val="24"/>
        </w:rPr>
      </w:pPr>
      <w:r>
        <w:rPr>
          <w:rFonts w:hint="default" w:eastAsia="Arial" w:cs="Times New Roman"/>
          <w:i/>
          <w:iCs/>
          <w:sz w:val="24"/>
          <w:szCs w:val="24"/>
          <w:lang w:val="en-UK"/>
        </w:rPr>
        <w:t>“</w:t>
      </w:r>
      <w:r>
        <w:rPr>
          <w:rFonts w:hint="default" w:ascii="Times New Roman" w:hAnsi="Times New Roman" w:eastAsia="Arial" w:cs="Times New Roman"/>
          <w:i/>
          <w:iCs/>
          <w:sz w:val="24"/>
          <w:szCs w:val="24"/>
        </w:rPr>
        <w:t>Information submitted with the application states that the application is for an</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agricultural building and for the storage of agricultural machinery. The application</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also states that Brown Hill Farm is generally a sheep farm with ancillary hay making</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taking place.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The erection of a building for agricultural purposes would clearly fall within the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exceptions listed under paragraph 145 of the NPPF (as listed above). It is however</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noted that an earlier application for this development (application 18/00901/FUL) was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refused because it was considered that the applicant had failed to demonstrate that</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the proposed building would be necessary for agricultural purposes. The main</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reasons for this were due to the former diversification of the farm to an equestrian</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business and it was considered that the information submitted to support the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application failed to demonstrate that agricultural activities still took place at the site.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Under the current application significantly more information to outline the activities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 xml:space="preserve">undertaken at the farm has been submitted along with </w:t>
      </w:r>
      <w:r>
        <w:rPr>
          <w:rFonts w:hint="default" w:eastAsia="Arial" w:cs="Times New Roman"/>
          <w:i/>
          <w:iCs/>
          <w:sz w:val="24"/>
          <w:szCs w:val="24"/>
          <w:lang w:val="en-UK"/>
        </w:rPr>
        <w:t>c</w:t>
      </w:r>
      <w:r>
        <w:rPr>
          <w:rFonts w:hint="default" w:ascii="Times New Roman" w:hAnsi="Times New Roman" w:eastAsia="Arial" w:cs="Times New Roman"/>
          <w:i/>
          <w:iCs/>
          <w:sz w:val="24"/>
          <w:szCs w:val="24"/>
        </w:rPr>
        <w:t>onfirmation from third parties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that the site operates as a working sheep farm. The information submitted</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comprises;</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A design and access statement which states that;</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Tahoma" w:cs="Times New Roman"/>
          <w:i/>
          <w:iCs/>
          <w:sz w:val="24"/>
          <w:szCs w:val="24"/>
        </w:rPr>
        <w:t xml:space="preserve">o </w:t>
      </w:r>
      <w:r>
        <w:rPr>
          <w:rFonts w:hint="default" w:ascii="Times New Roman" w:hAnsi="Times New Roman" w:eastAsia="Arial" w:cs="Times New Roman"/>
          <w:i/>
          <w:iCs/>
          <w:sz w:val="24"/>
          <w:szCs w:val="24"/>
        </w:rPr>
        <w:t>The number of sheep at the farm can vary between 100 to 300</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dependent on the lambing season, rearing, selling and slaughter.</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Tahoma" w:cs="Times New Roman"/>
          <w:i/>
          <w:iCs/>
          <w:sz w:val="24"/>
          <w:szCs w:val="24"/>
        </w:rPr>
        <w:t xml:space="preserve">o </w:t>
      </w:r>
      <w:r>
        <w:rPr>
          <w:rFonts w:hint="default" w:ascii="Times New Roman" w:hAnsi="Times New Roman" w:eastAsia="Arial" w:cs="Times New Roman"/>
          <w:i/>
          <w:iCs/>
          <w:sz w:val="24"/>
          <w:szCs w:val="24"/>
        </w:rPr>
        <w:t>The applicant owns an additional 15 hectares of land outside of the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site edged red.</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Tahoma" w:cs="Times New Roman"/>
          <w:i/>
          <w:iCs/>
          <w:sz w:val="24"/>
          <w:szCs w:val="24"/>
        </w:rPr>
        <w:t xml:space="preserve">o </w:t>
      </w:r>
      <w:r>
        <w:rPr>
          <w:rFonts w:hint="default" w:ascii="Times New Roman" w:hAnsi="Times New Roman" w:eastAsia="Arial" w:cs="Times New Roman"/>
          <w:i/>
          <w:iCs/>
          <w:sz w:val="24"/>
          <w:szCs w:val="24"/>
        </w:rPr>
        <w:t>The applicant currently stores machines and equipment outside and</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undercover on adjacent farm holdings.</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Letter from the applicants accountant stating that the business operates as a</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farm with over 300 sheep and it is registered with HMRC accordingly.</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Letter from Gisburn Auction Marts Ltd that states Brownhill Farm is a</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commercial working farm predominantly breeding sheep with part</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diversification to livery. Brownhill Farm claims under the Defra basis Payment</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scheme for 110 productive acres of grassland.</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Letter from the applicants vet stating that has provided veterinary care and</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medicines for Mr Brierley’s sheep and cattle for a number of years. The vets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have attended with increased frequency to the sheep over the last 2 years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and continue to provide veterinary services and medicine sales for the active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farm business.</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Confirmation of the applicants application form to the Rural Payments</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Agency.</w:t>
      </w:r>
    </w:p>
    <w:p>
      <w:pPr>
        <w:widowControl w:val="0"/>
        <w:autoSpaceDE w:val="0"/>
        <w:autoSpaceDN w:val="0"/>
        <w:rPr>
          <w:rFonts w:hint="default" w:ascii="Times New Roman" w:hAnsi="Times New Roman" w:eastAsia="Arial" w:cs="Times New Roman"/>
          <w:i/>
          <w:iCs/>
          <w:sz w:val="24"/>
          <w:szCs w:val="24"/>
        </w:rPr>
      </w:pPr>
      <w:r>
        <w:rPr>
          <w:rFonts w:hint="default" w:ascii="Times New Roman" w:hAnsi="Times New Roman" w:eastAsia="Arial" w:cs="Times New Roman"/>
          <w:i/>
          <w:iCs/>
          <w:sz w:val="24"/>
          <w:szCs w:val="24"/>
        </w:rPr>
        <w:t>- Two blank invoices for the farm, one for the farm business and one for the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livery business.</w:t>
      </w:r>
    </w:p>
    <w:p>
      <w:pPr>
        <w:widowControl w:val="0"/>
        <w:autoSpaceDE w:val="0"/>
        <w:autoSpaceDN w:val="0"/>
        <w:rPr>
          <w:rFonts w:hint="default" w:ascii="Times New Roman" w:hAnsi="Times New Roman" w:eastAsia="CIDFont+F2" w:cs="Times New Roman"/>
          <w:i/>
          <w:iCs/>
          <w:sz w:val="24"/>
          <w:szCs w:val="24"/>
          <w:lang w:val="en-UK"/>
        </w:rPr>
      </w:pPr>
      <w:r>
        <w:rPr>
          <w:rFonts w:hint="default" w:ascii="Times New Roman" w:hAnsi="Times New Roman" w:eastAsia="Arial" w:cs="Times New Roman"/>
          <w:i/>
          <w:iCs/>
          <w:sz w:val="24"/>
          <w:szCs w:val="24"/>
        </w:rPr>
        <w:t>Given the information now submitted with the application the LPA are satisfied that</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the site still operates as a working farm. Furthermore, on</w:t>
      </w:r>
      <w:r>
        <w:rPr>
          <w:rFonts w:hint="default" w:eastAsia="Arial" w:cs="Times New Roman"/>
          <w:i/>
          <w:iCs/>
          <w:sz w:val="24"/>
          <w:szCs w:val="24"/>
          <w:lang w:val="en-UK"/>
        </w:rPr>
        <w:t>-</w:t>
      </w:r>
      <w:r>
        <w:rPr>
          <w:rFonts w:hint="default" w:ascii="Times New Roman" w:hAnsi="Times New Roman" w:eastAsia="Arial" w:cs="Times New Roman"/>
          <w:i/>
          <w:iCs/>
          <w:sz w:val="24"/>
          <w:szCs w:val="24"/>
        </w:rPr>
        <w:t>site observation by the case</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officer confirm the presence of agricultural machinery on the site and the equipment</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outlined in the application is considered to be reasonable for the purposes of</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agriculture, with the application clearly highlighting how the buildings height relates to</w:t>
      </w:r>
      <w:r>
        <w:rPr>
          <w:rFonts w:hint="default" w:eastAsia="Arial" w:cs="Times New Roman"/>
          <w:i/>
          <w:iCs/>
          <w:sz w:val="24"/>
          <w:szCs w:val="24"/>
          <w:lang w:val="en-UK"/>
        </w:rPr>
        <w:t xml:space="preserve"> </w:t>
      </w:r>
      <w:r>
        <w:rPr>
          <w:rFonts w:hint="default" w:ascii="Times New Roman" w:hAnsi="Times New Roman" w:eastAsia="Arial" w:cs="Times New Roman"/>
          <w:i/>
          <w:iCs/>
          <w:sz w:val="24"/>
          <w:szCs w:val="24"/>
        </w:rPr>
        <w:t>the farm machinery.</w:t>
      </w:r>
      <w:r>
        <w:rPr>
          <w:rFonts w:hint="default" w:eastAsia="Arial" w:cs="Times New Roman"/>
          <w:i/>
          <w:iCs/>
          <w:sz w:val="24"/>
          <w:szCs w:val="24"/>
          <w:lang w:val="en-UK"/>
        </w:rPr>
        <w:t>”</w:t>
      </w:r>
    </w:p>
    <w:p>
      <w:pPr>
        <w:widowControl w:val="0"/>
        <w:autoSpaceDE w:val="0"/>
        <w:autoSpaceDN w:val="0"/>
        <w:rPr>
          <w:rFonts w:hint="default" w:ascii="Times New Roman" w:hAnsi="Times New Roman" w:eastAsia="CIDFont+F2" w:cs="Times New Roman"/>
          <w:sz w:val="24"/>
          <w:szCs w:val="24"/>
        </w:rPr>
      </w:pPr>
    </w:p>
    <w:p>
      <w:pPr>
        <w:widowControl w:val="0"/>
        <w:autoSpaceDE w:val="0"/>
        <w:autoSpaceDN w:val="0"/>
        <w:rPr>
          <w:rFonts w:hint="default" w:eastAsia="CIDFont+F2" w:cs="Times New Roman"/>
          <w:sz w:val="24"/>
          <w:szCs w:val="24"/>
          <w:lang w:val="en-UK"/>
        </w:rPr>
      </w:pPr>
      <w:r>
        <w:rPr>
          <w:rFonts w:hint="default" w:eastAsia="CIDFont+F2" w:cs="Times New Roman"/>
          <w:sz w:val="24"/>
          <w:szCs w:val="24"/>
          <w:lang w:val="en-UK"/>
        </w:rPr>
        <w:t>As such, the identical supporting information has been submitted with this application.</w:t>
      </w:r>
    </w:p>
    <w:p>
      <w:pPr>
        <w:widowControl w:val="0"/>
        <w:autoSpaceDE w:val="0"/>
        <w:autoSpaceDN w:val="0"/>
        <w:rPr>
          <w:rFonts w:hint="default" w:eastAsia="CIDFont+F2" w:cs="Times New Roman"/>
          <w:sz w:val="24"/>
          <w:szCs w:val="24"/>
          <w:lang w:val="en-UK"/>
        </w:rPr>
      </w:pPr>
    </w:p>
    <w:p>
      <w:pPr>
        <w:widowControl w:val="0"/>
        <w:autoSpaceDE w:val="0"/>
        <w:autoSpaceDN w:val="0"/>
        <w:rPr>
          <w:rFonts w:hint="default" w:ascii="Times New Roman" w:hAnsi="Times New Roman" w:eastAsia="CIDFont+F2" w:cs="Times New Roman"/>
          <w:sz w:val="24"/>
          <w:szCs w:val="24"/>
        </w:rPr>
      </w:pPr>
      <w:r>
        <w:rPr>
          <w:rFonts w:hint="default" w:ascii="Times New Roman" w:hAnsi="Times New Roman" w:eastAsia="CIDFont+F2" w:cs="Times New Roman"/>
          <w:sz w:val="24"/>
          <w:szCs w:val="24"/>
        </w:rPr>
        <w:t>To benefit from permitted development under Schedule 2, Part 6, Class A, there</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should also be an assurance that the development complies with the requirements of</w:t>
      </w:r>
      <w:r>
        <w:rPr>
          <w:rFonts w:hint="default" w:eastAsia="CIDFont+F2" w:cs="Times New Roman"/>
          <w:sz w:val="24"/>
          <w:szCs w:val="24"/>
          <w:lang w:val="en-UK"/>
        </w:rPr>
        <w:t xml:space="preserve"> </w:t>
      </w:r>
      <w:r>
        <w:rPr>
          <w:rFonts w:hint="default" w:ascii="Times New Roman" w:hAnsi="Times New Roman" w:eastAsia="CIDFont+F2" w:cs="Times New Roman"/>
          <w:sz w:val="24"/>
          <w:szCs w:val="24"/>
        </w:rPr>
        <w:t>paragraph A.1. These are addressed in full below:</w:t>
      </w:r>
    </w:p>
    <w:p>
      <w:pPr>
        <w:widowControl w:val="0"/>
        <w:autoSpaceDE w:val="0"/>
        <w:autoSpaceDN w:val="0"/>
        <w:rPr>
          <w:rFonts w:hint="default" w:ascii="Times New Roman" w:hAnsi="Times New Roman" w:eastAsia="CIDFont+F2" w:cs="Times New Roman"/>
          <w:sz w:val="24"/>
          <w:szCs w:val="24"/>
        </w:rPr>
      </w:pPr>
    </w:p>
    <w:p>
      <w:pPr>
        <w:widowControl w:val="0"/>
        <w:autoSpaceDE w:val="0"/>
        <w:autoSpaceDN w:val="0"/>
        <w:rPr>
          <w:rFonts w:hint="default" w:ascii="Times New Roman" w:hAnsi="Times New Roman" w:cs="Times New Roman"/>
          <w:b w:val="0"/>
          <w:i w:val="0"/>
          <w:color w:val="494949"/>
          <w:sz w:val="24"/>
          <w:szCs w:val="24"/>
          <w:shd w:val="clear" w:color="auto" w:fill="FFFFFF"/>
        </w:rPr>
      </w:pPr>
      <w:r>
        <w:rPr>
          <w:rFonts w:hint="default" w:ascii="Times New Roman" w:hAnsi="Times New Roman" w:cs="Times New Roman"/>
          <w:b w:val="0"/>
          <w:i w:val="0"/>
          <w:color w:val="494949"/>
          <w:sz w:val="24"/>
          <w:szCs w:val="24"/>
          <w:shd w:val="clear" w:color="auto" w:fill="FFFFFF"/>
        </w:rPr>
        <w:t>Development is not permitted by Class A if</w:t>
      </w:r>
      <w:r>
        <w:rPr>
          <w:rFonts w:hint="default" w:cs="Times New Roman"/>
          <w:b w:val="0"/>
          <w:i w:val="0"/>
          <w:color w:val="494949"/>
          <w:sz w:val="24"/>
          <w:szCs w:val="24"/>
          <w:shd w:val="clear" w:color="auto" w:fill="FFFFFF"/>
          <w:lang w:val="en-UK"/>
        </w:rPr>
        <w:t xml:space="preserve"> </w:t>
      </w:r>
      <w:r>
        <w:rPr>
          <w:rFonts w:hint="default" w:ascii="Times New Roman" w:hAnsi="Times New Roman" w:cs="Times New Roman"/>
          <w:b w:val="0"/>
          <w:i w:val="0"/>
          <w:color w:val="494949"/>
          <w:sz w:val="24"/>
          <w:szCs w:val="24"/>
          <w:shd w:val="clear" w:color="auto" w:fill="FFFFFF"/>
        </w:rPr>
        <w:t>—</w:t>
      </w:r>
    </w:p>
    <w:p>
      <w:pPr>
        <w:widowControl w:val="0"/>
        <w:autoSpaceDE w:val="0"/>
        <w:autoSpaceDN w:val="0"/>
        <w:rPr>
          <w:rFonts w:hint="default" w:ascii="Times New Roman" w:hAnsi="Times New Roman" w:cs="Times New Roman"/>
          <w:b w:val="0"/>
          <w:i w:val="0"/>
          <w:color w:val="494949"/>
          <w:sz w:val="24"/>
          <w:szCs w:val="24"/>
          <w:shd w:val="clear" w:color="auto" w:fill="FFFFFF"/>
        </w:rPr>
      </w:pP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a. the development would be carried out on a separate parcel of land forming</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part of the unit which is less than 1 hectare in size;</w:t>
      </w:r>
    </w:p>
    <w:p>
      <w:pPr>
        <w:widowControl w:val="0"/>
        <w:autoSpaceDE w:val="0"/>
        <w:autoSpaceDN w:val="0"/>
        <w:rPr>
          <w:rFonts w:hint="default" w:ascii="Times New Roman" w:hAnsi="Times New Roman" w:eastAsia="Arial" w:cs="Times New Roman"/>
          <w:i w:val="0"/>
          <w:iCs/>
          <w:sz w:val="24"/>
          <w:szCs w:val="24"/>
        </w:rPr>
      </w:pPr>
      <w:r>
        <w:rPr>
          <w:rFonts w:hint="default" w:ascii="Times New Roman" w:hAnsi="Times New Roman" w:eastAsia="Arial" w:cs="Times New Roman"/>
          <w:i w:val="0"/>
          <w:iCs/>
          <w:sz w:val="24"/>
          <w:szCs w:val="24"/>
        </w:rPr>
        <w:t xml:space="preserve">Evidence has been provided </w:t>
      </w:r>
      <w:r>
        <w:rPr>
          <w:rFonts w:hint="default" w:eastAsia="Arial" w:cs="Times New Roman"/>
          <w:i w:val="0"/>
          <w:iCs/>
          <w:sz w:val="24"/>
          <w:szCs w:val="24"/>
          <w:lang w:val="en-UK"/>
        </w:rPr>
        <w:t xml:space="preserve">by way of the submitted Rural Land Register Map </w:t>
      </w:r>
      <w:r>
        <w:rPr>
          <w:rFonts w:hint="default" w:ascii="Times New Roman" w:hAnsi="Times New Roman" w:eastAsia="Arial" w:cs="Times New Roman"/>
          <w:i w:val="0"/>
          <w:iCs/>
          <w:sz w:val="24"/>
          <w:szCs w:val="24"/>
        </w:rPr>
        <w:t>to demonstrate that the size of the</w:t>
      </w:r>
      <w:r>
        <w:rPr>
          <w:rFonts w:hint="default" w:ascii="Times New Roman" w:hAnsi="Times New Roman" w:eastAsia="Arial" w:cs="Times New Roman"/>
          <w:i w:val="0"/>
          <w:iCs/>
          <w:sz w:val="24"/>
          <w:szCs w:val="24"/>
          <w:lang w:val="en-UK"/>
        </w:rPr>
        <w:t xml:space="preserve"> </w:t>
      </w:r>
      <w:r>
        <w:rPr>
          <w:rFonts w:hint="default" w:ascii="Times New Roman" w:hAnsi="Times New Roman" w:eastAsia="Arial" w:cs="Times New Roman"/>
          <w:i w:val="0"/>
          <w:iCs/>
          <w:sz w:val="24"/>
          <w:szCs w:val="24"/>
        </w:rPr>
        <w:t>agricultural holding is 4</w:t>
      </w:r>
      <w:r>
        <w:rPr>
          <w:rFonts w:hint="default" w:eastAsia="Arial" w:cs="Times New Roman"/>
          <w:i w:val="0"/>
          <w:iCs/>
          <w:sz w:val="24"/>
          <w:szCs w:val="24"/>
          <w:lang w:val="en-UK"/>
        </w:rPr>
        <w:t>4</w:t>
      </w:r>
      <w:r>
        <w:rPr>
          <w:rFonts w:hint="default" w:ascii="Times New Roman" w:hAnsi="Times New Roman" w:eastAsia="Arial" w:cs="Times New Roman"/>
          <w:i w:val="0"/>
          <w:iCs/>
          <w:sz w:val="24"/>
          <w:szCs w:val="24"/>
        </w:rPr>
        <w:t>.</w:t>
      </w:r>
      <w:r>
        <w:rPr>
          <w:rFonts w:hint="default" w:eastAsia="Arial" w:cs="Times New Roman"/>
          <w:i w:val="0"/>
          <w:iCs/>
          <w:sz w:val="24"/>
          <w:szCs w:val="24"/>
          <w:lang w:val="en-UK"/>
        </w:rPr>
        <w:t>17</w:t>
      </w:r>
      <w:r>
        <w:rPr>
          <w:rFonts w:hint="default" w:ascii="Times New Roman" w:hAnsi="Times New Roman" w:eastAsia="Arial" w:cs="Times New Roman"/>
          <w:i w:val="0"/>
          <w:iCs/>
          <w:sz w:val="24"/>
          <w:szCs w:val="24"/>
        </w:rPr>
        <w:t xml:space="preserve"> ha. The proposed development would be</w:t>
      </w:r>
      <w:r>
        <w:rPr>
          <w:rFonts w:hint="default" w:ascii="Times New Roman" w:hAnsi="Times New Roman" w:eastAsia="Arial" w:cs="Times New Roman"/>
          <w:i w:val="0"/>
          <w:iCs/>
          <w:sz w:val="24"/>
          <w:szCs w:val="24"/>
          <w:lang w:val="en-UK"/>
        </w:rPr>
        <w:t xml:space="preserve"> </w:t>
      </w:r>
      <w:r>
        <w:rPr>
          <w:rFonts w:hint="default" w:ascii="Times New Roman" w:hAnsi="Times New Roman" w:eastAsia="Arial" w:cs="Times New Roman"/>
          <w:i w:val="0"/>
          <w:iCs/>
          <w:sz w:val="24"/>
          <w:szCs w:val="24"/>
        </w:rPr>
        <w:t>set across two separate parcels of land identified as no 1354 and</w:t>
      </w:r>
      <w:r>
        <w:rPr>
          <w:rFonts w:hint="default" w:eastAsia="Arial" w:cs="Times New Roman"/>
          <w:i w:val="0"/>
          <w:iCs/>
          <w:sz w:val="24"/>
          <w:szCs w:val="24"/>
          <w:lang w:val="en-UK"/>
        </w:rPr>
        <w:t xml:space="preserve"> </w:t>
      </w:r>
      <w:r>
        <w:rPr>
          <w:rFonts w:hint="default" w:ascii="Times New Roman" w:hAnsi="Times New Roman" w:eastAsia="Arial" w:cs="Times New Roman"/>
          <w:i w:val="0"/>
          <w:iCs/>
          <w:sz w:val="24"/>
          <w:szCs w:val="24"/>
        </w:rPr>
        <w:t>2358 on the submitted agricultural holding plan. Combined, the</w:t>
      </w:r>
      <w:r>
        <w:rPr>
          <w:rFonts w:hint="default" w:ascii="Times New Roman" w:hAnsi="Times New Roman" w:eastAsia="Arial" w:cs="Times New Roman"/>
          <w:i w:val="0"/>
          <w:iCs/>
          <w:sz w:val="24"/>
          <w:szCs w:val="24"/>
          <w:lang w:val="en-UK"/>
        </w:rPr>
        <w:t xml:space="preserve"> </w:t>
      </w:r>
      <w:r>
        <w:rPr>
          <w:rFonts w:hint="default" w:ascii="Times New Roman" w:hAnsi="Times New Roman" w:eastAsia="Arial" w:cs="Times New Roman"/>
          <w:i w:val="0"/>
          <w:iCs/>
          <w:sz w:val="24"/>
          <w:szCs w:val="24"/>
        </w:rPr>
        <w:t>parcels have an area of 1.1ha</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b. it would consist of the erection or extension of any agricultural building on an</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established agricultural unit (as defined in paragraph X of Part 3 of this</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Schedule) where development under Class Q or S of Part 3 (changes of use)</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of this Schedule has been carried out within a period of 10 years ending with</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the date on which development under Class A(a) begins;</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No part of the immediate curtilage has been subject to any such</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documented change of use under the above legislation.</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c. it would consist of, or include, the erection, extension or alteration of a</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dwelling;</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application does not propose any of the above.</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d. it would involve the provision of a building, structure, or works not designated</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for agricultural purposes.</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As outlined above, evidence has been provided to</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demonstrate that the building is reasonably necessary for the</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purposes of agriculture.</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e. the ground area which would be covered by</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i. any works or structure (other than a fence) for accommodating</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livestock or any plant or machinery arising from engineering</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operations; or</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ii. any building erected or extended or altered by virtue of class A,</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would exceed square 465 metres, calculated as described in paragraph</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D.1(2)(a) of Part 6.</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proposed ground area covered by the extension would be 90.62</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square metres and no further authorised development has been</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undertaken at the site as described in paragraph D.1(2)(a) within the</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last 2 years. The area of the building therefore falls below the</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maximum permitted 465 square metres.</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f. the height of any part of any building, structure or works within 3 kilometres of</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the perimeter of an aerodrome would exceed 3 metres;</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building would not be within 3 kilometres of an aerodrome.</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g. the height of any part of any building, structure or works not within 3</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kilometres of the perimeter of an aerodrome would exceed 12 metres;</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building would not be within 3 kilometres of an aerodrome.</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Nonetheless, the height of the building would not exceed 12 metres.</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h. any part of the development would be within 25 metres of a metalled part of a</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trunk road or classified road;</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development would not be within 25 metres of a metalled road.</w:t>
      </w:r>
    </w:p>
    <w:p>
      <w:pPr>
        <w:widowControl w:val="0"/>
        <w:autoSpaceDE w:val="0"/>
        <w:autoSpaceDN w:val="0"/>
        <w:rPr>
          <w:rFonts w:hint="default" w:ascii="Times New Roman" w:hAnsi="Times New Roman" w:eastAsia="CIDFont+F4" w:cs="Times New Roman"/>
          <w:sz w:val="24"/>
          <w:szCs w:val="24"/>
        </w:rPr>
      </w:pPr>
      <w:bookmarkStart w:id="0" w:name="_GoBack"/>
      <w:bookmarkEnd w:id="0"/>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i. it would consist of, or include, the erection or construction of, or the carrying</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out of any works to, a building, or structure or an excavation used or to be</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used for the accommodation of livestock or for the storage of slurry or</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sewage sludge where the building, structure or excavation is, or would be,</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within 400 metres of the curtilage of a protected building;</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submitted information outlines that the extension is required for</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storage of machinery and hay bales; the proposed development</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therefore complies in this regard.</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j. It would involve excavation or engineering operations on or over article 2(4)</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land which are connected with fish farming.</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development would not be on or over article 2(4) land and is not</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connected with fish farming.</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k. any building for storing fuel for or waste from a biomass boiler or an</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anaerobic digestion system</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I.</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would be used for storing waste not produced by that boiler or system</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or for storing fuel not produced on land within the unit; or</w:t>
      </w:r>
    </w:p>
    <w:p>
      <w:pPr>
        <w:widowControl w:val="0"/>
        <w:autoSpaceDE w:val="0"/>
        <w:autoSpaceDN w:val="0"/>
        <w:rPr>
          <w:rFonts w:hint="default" w:ascii="Times New Roman" w:hAnsi="Times New Roman" w:eastAsia="CIDFont+F2" w:cs="Times New Roman"/>
          <w:b/>
          <w:bCs/>
          <w:sz w:val="24"/>
          <w:szCs w:val="24"/>
        </w:rPr>
      </w:pPr>
      <w:r>
        <w:rPr>
          <w:rFonts w:hint="default" w:ascii="Times New Roman" w:hAnsi="Times New Roman" w:eastAsia="CIDFont+F2" w:cs="Times New Roman"/>
          <w:b/>
          <w:bCs/>
          <w:sz w:val="24"/>
          <w:szCs w:val="24"/>
        </w:rPr>
        <w:t>ii. is or would be within 400 metres of the curtilage of a protected</w:t>
      </w:r>
      <w:r>
        <w:rPr>
          <w:rFonts w:hint="default" w:eastAsia="CIDFont+F2" w:cs="Times New Roman"/>
          <w:b/>
          <w:bCs/>
          <w:sz w:val="24"/>
          <w:szCs w:val="24"/>
          <w:lang w:val="en-UK"/>
        </w:rPr>
        <w:t xml:space="preserve"> </w:t>
      </w:r>
      <w:r>
        <w:rPr>
          <w:rFonts w:hint="default" w:ascii="Times New Roman" w:hAnsi="Times New Roman" w:eastAsia="CIDFont+F2" w:cs="Times New Roman"/>
          <w:b/>
          <w:bCs/>
          <w:sz w:val="24"/>
          <w:szCs w:val="24"/>
        </w:rPr>
        <w:t>building</w:t>
      </w:r>
    </w:p>
    <w:p>
      <w:pPr>
        <w:widowControl w:val="0"/>
        <w:autoSpaceDE w:val="0"/>
        <w:autoSpaceDN w:val="0"/>
        <w:rPr>
          <w:rFonts w:hint="default" w:ascii="Times New Roman" w:hAnsi="Times New Roman" w:eastAsia="CIDFont+F4" w:cs="Times New Roman"/>
          <w:sz w:val="24"/>
          <w:szCs w:val="24"/>
        </w:rPr>
      </w:pPr>
      <w:r>
        <w:rPr>
          <w:rFonts w:hint="default" w:ascii="Times New Roman" w:hAnsi="Times New Roman" w:eastAsia="CIDFont+F4" w:cs="Times New Roman"/>
          <w:sz w:val="24"/>
          <w:szCs w:val="24"/>
        </w:rPr>
        <w:t>The development does not include provision for storing fuel for or</w:t>
      </w:r>
      <w:r>
        <w:rPr>
          <w:rFonts w:hint="default" w:eastAsia="CIDFont+F4" w:cs="Times New Roman"/>
          <w:sz w:val="24"/>
          <w:szCs w:val="24"/>
          <w:lang w:val="en-UK"/>
        </w:rPr>
        <w:t xml:space="preserve"> </w:t>
      </w:r>
      <w:r>
        <w:rPr>
          <w:rFonts w:hint="default" w:ascii="Times New Roman" w:hAnsi="Times New Roman" w:eastAsia="CIDFont+F4" w:cs="Times New Roman"/>
          <w:sz w:val="24"/>
          <w:szCs w:val="24"/>
        </w:rPr>
        <w:t>waste from a biomass boiler or an anaerobic digestion system.</w:t>
      </w:r>
    </w:p>
    <w:p>
      <w:pPr>
        <w:widowControl w:val="0"/>
        <w:autoSpaceDE w:val="0"/>
        <w:autoSpaceDN w:val="0"/>
        <w:rPr>
          <w:rFonts w:hint="default" w:ascii="Times New Roman" w:hAnsi="Times New Roman" w:eastAsia="CIDFont+F4" w:cs="Times New Roman"/>
          <w:sz w:val="24"/>
          <w:szCs w:val="24"/>
        </w:rPr>
      </w:pPr>
    </w:p>
    <w:p>
      <w:pPr>
        <w:widowControl w:val="0"/>
        <w:autoSpaceDE w:val="0"/>
        <w:autoSpaceDN w:val="0"/>
        <w:rPr>
          <w:rFonts w:hint="default" w:eastAsia="CIDFont+F2" w:cs="Times New Roman"/>
          <w:sz w:val="24"/>
          <w:szCs w:val="24"/>
          <w:lang w:val="en-UK"/>
        </w:rPr>
      </w:pPr>
      <w:r>
        <w:rPr>
          <w:rFonts w:hint="default" w:eastAsia="CIDFont+F2" w:cs="Times New Roman"/>
          <w:sz w:val="24"/>
          <w:szCs w:val="24"/>
          <w:lang w:val="en-UK"/>
        </w:rPr>
        <w:t>It is necessary to</w:t>
      </w:r>
      <w:r>
        <w:rPr>
          <w:rFonts w:hint="default" w:ascii="Times New Roman" w:hAnsi="Times New Roman" w:eastAsia="CIDFont+F2" w:cs="Times New Roman"/>
          <w:sz w:val="24"/>
          <w:szCs w:val="24"/>
        </w:rPr>
        <w:t xml:space="preserve"> sufficiently demonstrate the agricultural need for the development.</w:t>
      </w:r>
      <w:r>
        <w:rPr>
          <w:rFonts w:hint="default" w:eastAsia="CIDFont+F2" w:cs="Times New Roman"/>
          <w:sz w:val="24"/>
          <w:szCs w:val="24"/>
          <w:lang w:val="en-UK"/>
        </w:rPr>
        <w:t xml:space="preserve"> As such the following information is submitted -</w:t>
      </w:r>
    </w:p>
    <w:p>
      <w:pPr>
        <w:rPr>
          <w:rFonts w:hint="default"/>
          <w:lang w:val="en-UK"/>
        </w:rPr>
      </w:pPr>
    </w:p>
    <w:p>
      <w:pPr>
        <w:numPr>
          <w:numId w:val="0"/>
        </w:numPr>
        <w:rPr>
          <w:rFonts w:hint="default"/>
          <w:lang w:val="en-UK"/>
        </w:rPr>
      </w:pPr>
      <w:r>
        <w:rPr>
          <w:rFonts w:hint="default"/>
          <w:lang w:val="en-UK"/>
        </w:rPr>
        <w:t xml:space="preserve">The information submitted for the previously approved application for a machinery and implement storage building stated that it was required for the following - </w:t>
      </w:r>
    </w:p>
    <w:p>
      <w:pPr>
        <w:numPr>
          <w:numId w:val="0"/>
        </w:numPr>
        <w:rPr>
          <w:rFonts w:hint="default"/>
          <w:lang w:val="en-UK"/>
        </w:rPr>
      </w:pPr>
    </w:p>
    <w:p>
      <w:pPr>
        <w:widowControl w:val="0"/>
        <w:autoSpaceDE w:val="0"/>
        <w:autoSpaceDN w:val="0"/>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1) John Deere 8R series tractor which has an overall height of 3.70 metres increasing to 4.50 metres</w:t>
      </w:r>
    </w:p>
    <w:p>
      <w:pPr>
        <w:widowControl w:val="0"/>
        <w:autoSpaceDE w:val="0"/>
        <w:autoSpaceDN w:val="0"/>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when the front loading arm is raised. The building needs to accommodate this height should it</w:t>
      </w:r>
    </w:p>
    <w:p>
      <w:pPr>
        <w:widowControl w:val="0"/>
        <w:autoSpaceDE w:val="0"/>
        <w:autoSpaceDN w:val="0"/>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necessary to maintain and repair the tractor under cover.</w:t>
      </w:r>
    </w:p>
    <w:p>
      <w:pPr>
        <w:widowControl w:val="0"/>
        <w:autoSpaceDE w:val="0"/>
        <w:autoSpaceDN w:val="0"/>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2) John Deere Hay and Forage Tedding equipment.</w:t>
      </w:r>
    </w:p>
    <w:p>
      <w:pPr>
        <w:widowControl w:val="0"/>
        <w:autoSpaceDE w:val="0"/>
        <w:autoSpaceDN w:val="0"/>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3) John Deere Chamber Baler.</w:t>
      </w:r>
    </w:p>
    <w:p>
      <w:pPr>
        <w:numPr>
          <w:numId w:val="0"/>
        </w:numPr>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4) Trailer.</w:t>
      </w:r>
    </w:p>
    <w:p>
      <w:pPr>
        <w:numPr>
          <w:numId w:val="0"/>
        </w:numPr>
        <w:rPr>
          <w:rFonts w:hint="default" w:ascii="Times New Roman" w:hAnsi="Times New Roman" w:eastAsia="TimesNewRoman" w:cs="Times New Roman"/>
          <w:sz w:val="24"/>
          <w:szCs w:val="24"/>
        </w:rPr>
      </w:pPr>
    </w:p>
    <w:p>
      <w:pPr>
        <w:numPr>
          <w:numId w:val="0"/>
        </w:numPr>
        <w:rPr>
          <w:rFonts w:hint="default" w:eastAsia="TimesNewRoman" w:cs="Times New Roman"/>
          <w:sz w:val="24"/>
          <w:szCs w:val="24"/>
          <w:lang w:val="en-UK"/>
        </w:rPr>
      </w:pPr>
      <w:r>
        <w:rPr>
          <w:rFonts w:hint="default" w:eastAsia="TimesNewRoman" w:cs="Times New Roman"/>
          <w:sz w:val="24"/>
          <w:szCs w:val="24"/>
          <w:lang w:val="en-UK"/>
        </w:rPr>
        <w:t>However, in reality, it has only been able to store the following -</w:t>
      </w:r>
    </w:p>
    <w:p>
      <w:pPr>
        <w:numPr>
          <w:numId w:val="0"/>
        </w:numPr>
        <w:rPr>
          <w:rFonts w:hint="default" w:eastAsia="TimesNewRoman" w:cs="Times New Roman"/>
          <w:sz w:val="24"/>
          <w:szCs w:val="24"/>
          <w:lang w:val="en-UK"/>
        </w:rPr>
      </w:pPr>
    </w:p>
    <w:p>
      <w:pPr>
        <w:numPr>
          <w:ilvl w:val="0"/>
          <w:numId w:val="1"/>
        </w:numPr>
        <w:rPr>
          <w:rFonts w:hint="default" w:ascii="Times New Roman" w:hAnsi="Times New Roman" w:eastAsia="TimesNewRoman" w:cs="Times New Roman"/>
          <w:sz w:val="24"/>
          <w:szCs w:val="24"/>
        </w:rPr>
      </w:pPr>
      <w:r>
        <w:rPr>
          <w:rFonts w:hint="default" w:ascii="Times New Roman" w:hAnsi="Times New Roman" w:eastAsia="TimesNewRoman" w:cs="Times New Roman"/>
          <w:sz w:val="24"/>
          <w:szCs w:val="24"/>
        </w:rPr>
        <w:t>John Deere Chamber Baler.</w:t>
      </w:r>
    </w:p>
    <w:p>
      <w:pPr>
        <w:numPr>
          <w:ilvl w:val="0"/>
          <w:numId w:val="1"/>
        </w:numPr>
        <w:rPr>
          <w:rFonts w:hint="default" w:ascii="Times New Roman" w:hAnsi="Times New Roman" w:eastAsia="TimesNewRoman" w:cs="Times New Roman"/>
          <w:sz w:val="24"/>
          <w:szCs w:val="24"/>
          <w:lang w:val="en-UK"/>
        </w:rPr>
      </w:pPr>
      <w:r>
        <w:rPr>
          <w:rFonts w:hint="default" w:eastAsia="TimesNewRoman" w:cs="Times New Roman"/>
          <w:sz w:val="24"/>
          <w:szCs w:val="24"/>
          <w:lang w:val="en-UK"/>
        </w:rPr>
        <w:t>Rowing-up machine</w:t>
      </w:r>
    </w:p>
    <w:p>
      <w:pPr>
        <w:numPr>
          <w:ilvl w:val="0"/>
          <w:numId w:val="1"/>
        </w:numPr>
        <w:rPr>
          <w:rFonts w:hint="default" w:ascii="Times New Roman" w:hAnsi="Times New Roman" w:eastAsia="TimesNewRoman" w:cs="Times New Roman"/>
          <w:sz w:val="24"/>
          <w:szCs w:val="24"/>
          <w:lang w:val="en-UK"/>
        </w:rPr>
      </w:pPr>
      <w:r>
        <w:rPr>
          <w:rFonts w:hint="default" w:eastAsia="TimesNewRoman" w:cs="Times New Roman"/>
          <w:sz w:val="24"/>
          <w:szCs w:val="24"/>
          <w:lang w:val="en-UK"/>
        </w:rPr>
        <w:t>2 x shakers</w:t>
      </w:r>
    </w:p>
    <w:p>
      <w:pPr>
        <w:numPr>
          <w:ilvl w:val="0"/>
          <w:numId w:val="1"/>
        </w:numPr>
        <w:rPr>
          <w:rFonts w:hint="default" w:ascii="Times New Roman" w:hAnsi="Times New Roman" w:eastAsia="TimesNewRoman" w:cs="Times New Roman"/>
          <w:sz w:val="24"/>
          <w:szCs w:val="24"/>
          <w:lang w:val="en-UK"/>
        </w:rPr>
      </w:pPr>
      <w:r>
        <w:rPr>
          <w:rFonts w:hint="default" w:eastAsia="TimesNewRoman" w:cs="Times New Roman"/>
          <w:sz w:val="24"/>
          <w:szCs w:val="24"/>
          <w:lang w:val="en-UK"/>
        </w:rPr>
        <w:t>Mowing machine</w:t>
      </w:r>
    </w:p>
    <w:p>
      <w:pPr>
        <w:numPr>
          <w:ilvl w:val="0"/>
          <w:numId w:val="1"/>
        </w:numPr>
        <w:rPr>
          <w:rFonts w:hint="default" w:ascii="Times New Roman" w:hAnsi="Times New Roman" w:eastAsia="TimesNewRoman" w:cs="Times New Roman"/>
          <w:sz w:val="24"/>
          <w:szCs w:val="24"/>
          <w:lang w:val="en-UK"/>
        </w:rPr>
      </w:pPr>
      <w:r>
        <w:rPr>
          <w:rFonts w:hint="default" w:eastAsia="TimesNewRoman" w:cs="Times New Roman"/>
          <w:sz w:val="24"/>
          <w:szCs w:val="24"/>
          <w:lang w:val="en-UK"/>
        </w:rPr>
        <w:t xml:space="preserve">The </w:t>
      </w:r>
      <w:r>
        <w:rPr>
          <w:rFonts w:hint="default" w:ascii="Times New Roman" w:hAnsi="Times New Roman" w:eastAsia="TimesNewRoman" w:cs="Times New Roman"/>
          <w:sz w:val="24"/>
          <w:szCs w:val="24"/>
        </w:rPr>
        <w:t>John Deere 8R</w:t>
      </w:r>
      <w:r>
        <w:rPr>
          <w:rFonts w:hint="default" w:eastAsia="TimesNewRoman" w:cs="Times New Roman"/>
          <w:sz w:val="24"/>
          <w:szCs w:val="24"/>
          <w:lang w:val="en-UK"/>
        </w:rPr>
        <w:t xml:space="preserve"> tractor is only able to be partially covered as the front end projects forward from the building.</w:t>
      </w:r>
    </w:p>
    <w:p>
      <w:pPr>
        <w:numPr>
          <w:numId w:val="0"/>
        </w:numPr>
        <w:rPr>
          <w:rFonts w:hint="default" w:eastAsia="TimesNewRoman" w:cs="Times New Roman"/>
          <w:sz w:val="24"/>
          <w:szCs w:val="24"/>
          <w:lang w:val="en-UK"/>
        </w:rPr>
      </w:pPr>
    </w:p>
    <w:p>
      <w:pPr>
        <w:numPr>
          <w:numId w:val="0"/>
        </w:numPr>
        <w:rPr>
          <w:rFonts w:hint="default" w:eastAsia="TimesNewRoman" w:cs="Times New Roman"/>
          <w:sz w:val="24"/>
          <w:szCs w:val="24"/>
          <w:lang w:val="en-UK"/>
        </w:rPr>
      </w:pPr>
      <w:r>
        <w:rPr>
          <w:rFonts w:hint="default" w:eastAsia="TimesNewRoman" w:cs="Times New Roman"/>
          <w:sz w:val="24"/>
          <w:szCs w:val="24"/>
          <w:lang w:val="en-UK"/>
        </w:rPr>
        <w:t>In the past, the applicant has contracted out the hay making and baling operation but in order to cut costs and keep the process ‘in-house’ they have now purchased the machinery required to undertake this themselves. As such, the following machinery and equipment, inter alia, is required to be stored in the proposed building-</w:t>
      </w:r>
    </w:p>
    <w:p>
      <w:pPr>
        <w:numPr>
          <w:numId w:val="0"/>
        </w:numPr>
        <w:rPr>
          <w:rFonts w:hint="default" w:eastAsia="TimesNewRoman" w:cs="Times New Roman"/>
          <w:sz w:val="24"/>
          <w:szCs w:val="24"/>
          <w:lang w:val="en-UK"/>
        </w:rPr>
      </w:pP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Pasture topper</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Chain harrows</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Muck spreader</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2 x tractors</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Tele-handler</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Mini digger</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2 x trailers - flatbed and livestock</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2 x quads</w:t>
      </w:r>
    </w:p>
    <w:p>
      <w:pPr>
        <w:numPr>
          <w:ilvl w:val="0"/>
          <w:numId w:val="2"/>
        </w:numPr>
        <w:rPr>
          <w:rFonts w:hint="default" w:eastAsia="TimesNewRoman" w:cs="Times New Roman"/>
          <w:sz w:val="24"/>
          <w:szCs w:val="24"/>
          <w:lang w:val="en-UK"/>
        </w:rPr>
      </w:pPr>
      <w:r>
        <w:rPr>
          <w:rFonts w:hint="default" w:eastAsia="TimesNewRoman" w:cs="Times New Roman"/>
          <w:sz w:val="24"/>
          <w:szCs w:val="24"/>
          <w:lang w:val="en-UK"/>
        </w:rPr>
        <w:t>General small tools, fencing posts and equipment</w:t>
      </w:r>
    </w:p>
    <w:p>
      <w:pPr>
        <w:numPr>
          <w:numId w:val="0"/>
        </w:numPr>
        <w:rPr>
          <w:rFonts w:hint="default"/>
          <w:lang w:val="en-UK"/>
        </w:rPr>
      </w:pPr>
      <w:r>
        <w:rPr>
          <w:rFonts w:hint="default"/>
          <w:lang w:val="en-UK"/>
        </w:rPr>
        <w:t xml:space="preserve">Based upon approximately 20ha of land being cultivatable, the holding is capable of producing approximately 25 circular bales per hectare giving a total of approximately 500 bales, each measuring 1.20m high x 1.50m diameter. </w:t>
      </w:r>
    </w:p>
    <w:p>
      <w:pPr>
        <w:numPr>
          <w:numId w:val="0"/>
        </w:numPr>
        <w:rPr>
          <w:rFonts w:hint="default"/>
          <w:lang w:val="en-UK"/>
        </w:rPr>
      </w:pPr>
      <w:r>
        <w:rPr>
          <w:rFonts w:hint="default"/>
          <w:lang w:val="en-UK"/>
        </w:rPr>
        <w:t xml:space="preserve">Currently, bales are having to be wrapped in polythene, and stored outside as there is no covered storage available. The use of plastic to wrap the bales, is unsatisfactory from economical and environmental points of view. The cost of purchasing the plastic and the diesel to run the bale wrapping machine is a drain on the farm’s resources and the use of plastic in industry is rapidly becoming unsatisfactory. Also, when hay is wrapped in polythene, it does not have the same qualities as unwrapped hay which the sheep prefer. Of the 500 bales harvested, the applicant will require the storage of 250 bales for their personal use with the remaining 250 bales being sold directly to the open market. The submitted floor plan indicates that 63 bales can be accommodated within half of the barn floor area and when stacked four bales high provides 252 bales. </w:t>
      </w:r>
    </w:p>
    <w:p>
      <w:pPr>
        <w:numPr>
          <w:numId w:val="0"/>
        </w:numPr>
        <w:rPr>
          <w:rFonts w:hint="default"/>
          <w:lang w:val="en-UK"/>
        </w:rPr>
      </w:pPr>
    </w:p>
    <w:p>
      <w:pPr>
        <w:numPr>
          <w:numId w:val="0"/>
        </w:numPr>
        <w:rPr>
          <w:rFonts w:hint="default"/>
          <w:lang w:val="en-UK"/>
        </w:rPr>
      </w:pPr>
      <w:r>
        <w:rPr>
          <w:rFonts w:hint="default"/>
          <w:lang w:val="en-UK"/>
        </w:rPr>
        <w:t>There are no other buildings on the site suitable to store the larger equipment either being too small / low or having been previously converted (with the benefit of planning approval) into equestrian use. The applicant currently leaves machinery outdoors or rents building space from adjacent land owners.</w:t>
      </w:r>
    </w:p>
    <w:p>
      <w:pPr>
        <w:numPr>
          <w:numId w:val="0"/>
        </w:numPr>
        <w:rPr>
          <w:rFonts w:hint="default"/>
          <w:lang w:val="en-UK"/>
        </w:rPr>
      </w:pPr>
    </w:p>
    <w:p>
      <w:pPr>
        <w:numPr>
          <w:numId w:val="0"/>
        </w:numPr>
        <w:rPr>
          <w:rFonts w:hint="default"/>
          <w:lang w:val="en-UK"/>
        </w:rPr>
      </w:pPr>
      <w:r>
        <w:rPr>
          <w:rFonts w:hint="default"/>
          <w:lang w:val="en-UK"/>
        </w:rPr>
        <w:t>The storage of machinery and equipment in the open air is unacceptable as it is subject to weather damage and deterioration together with diesel and oil run-off with potential contamination to the ground and drainage systems. Also, there is a national prevalence of theft of agricultural machinery and equipment particularly those which are not stored securely indoors.</w:t>
      </w:r>
    </w:p>
    <w:p>
      <w:pPr>
        <w:numPr>
          <w:numId w:val="0"/>
        </w:numPr>
        <w:rPr>
          <w:rFonts w:hint="default"/>
          <w:lang w:val="en-UK"/>
        </w:rPr>
      </w:pPr>
    </w:p>
    <w:p>
      <w:pPr>
        <w:numPr>
          <w:numId w:val="0"/>
        </w:numPr>
        <w:rPr>
          <w:rFonts w:hint="default"/>
          <w:lang w:val="en-UK"/>
        </w:rPr>
      </w:pPr>
      <w:r>
        <w:rPr>
          <w:rFonts w:hint="default"/>
          <w:lang w:val="en-UK"/>
        </w:rPr>
        <w:t xml:space="preserve">In a further effort to reduce running costs and operate in a more environmentally friendly manner, the applicant intends to install solar panels on the south east facing elevation roof slope together with a rainwater harvesting system. </w:t>
      </w:r>
    </w:p>
    <w:p>
      <w:pPr>
        <w:rPr>
          <w:rFonts w:hint="default"/>
          <w:b/>
          <w:bCs/>
          <w:u w:val="single" w:color="auto"/>
          <w:lang w:val="en-UK"/>
        </w:rPr>
      </w:pPr>
    </w:p>
    <w:p>
      <w:pPr>
        <w:rPr>
          <w:rFonts w:hint="default"/>
          <w:b/>
          <w:bCs/>
          <w:u w:val="single" w:color="auto"/>
          <w:lang w:val="en-UK"/>
        </w:rPr>
      </w:pPr>
      <w:r>
        <w:rPr>
          <w:rFonts w:hint="default"/>
          <w:b/>
          <w:bCs/>
          <w:u w:val="single" w:color="auto"/>
          <w:lang w:val="en-UK"/>
        </w:rPr>
        <w:t>LANDSCAPING</w:t>
      </w:r>
    </w:p>
    <w:p>
      <w:pPr>
        <w:rPr>
          <w:rFonts w:hint="default"/>
          <w:lang w:val="en-UK"/>
        </w:rPr>
      </w:pPr>
    </w:p>
    <w:p>
      <w:pPr>
        <w:rPr>
          <w:rFonts w:hint="default"/>
          <w:lang w:val="en-UK"/>
        </w:rPr>
      </w:pPr>
      <w:r>
        <w:rPr>
          <w:rFonts w:hint="default"/>
          <w:lang w:val="en-UK"/>
        </w:rPr>
        <w:t xml:space="preserve">It is not proposed to incorporate any additional landscaping. </w:t>
      </w:r>
    </w:p>
    <w:p>
      <w:pPr>
        <w:rPr>
          <w:rFonts w:hint="default"/>
          <w:lang w:val="en-UK"/>
        </w:rPr>
      </w:pPr>
    </w:p>
    <w:p>
      <w:pPr>
        <w:rPr>
          <w:rFonts w:hint="default"/>
          <w:b/>
          <w:bCs/>
          <w:u w:val="single" w:color="auto"/>
          <w:lang w:val="en-UK"/>
        </w:rPr>
      </w:pPr>
      <w:r>
        <w:rPr>
          <w:rFonts w:hint="default"/>
          <w:b/>
          <w:bCs/>
          <w:u w:val="single" w:color="auto"/>
          <w:lang w:val="en-UK"/>
        </w:rPr>
        <w:t>ACCESS</w:t>
      </w:r>
    </w:p>
    <w:p>
      <w:pPr>
        <w:rPr>
          <w:rFonts w:hint="default"/>
          <w:lang w:val="en-UK"/>
        </w:rPr>
      </w:pPr>
    </w:p>
    <w:p>
      <w:pPr>
        <w:rPr>
          <w:lang w:val="en-UK"/>
        </w:rPr>
      </w:pPr>
      <w:r>
        <w:rPr>
          <w:rFonts w:hint="default"/>
          <w:lang w:val="en-UK"/>
        </w:rPr>
        <w:t>Access to the site will be from the existing junction with Rooley Moor Road.</w:t>
      </w:r>
    </w:p>
    <w:sectPr>
      <w:pgSz w:w="11849" w:h="16781"/>
      <w:pgMar w:top="1440" w:right="1117" w:bottom="1440" w:left="1117" w:header="1446" w:footer="1446" w:gutter="0"/>
      <w:paperSrc w:first="0" w:oth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Open Sans">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86"/>
    <w:family w:val="auto"/>
    <w:pitch w:val="default"/>
    <w:sig w:usb0="80000287" w:usb1="2ACF3C50" w:usb2="00000016" w:usb3="00000000" w:csb0="0004001F" w:csb1="00000000"/>
  </w:font>
  <w:font w:name="CIDFont+F2">
    <w:altName w:val="Segoe Print"/>
    <w:panose1 w:val="00000000000000000000"/>
    <w:charset w:val="00"/>
    <w:family w:val="auto"/>
    <w:pitch w:val="default"/>
    <w:sig w:usb0="00000000" w:usb1="00000000" w:usb2="00000000" w:usb3="00000000" w:csb0="00000001" w:csb1="00000000"/>
  </w:font>
  <w:font w:name="CIDFont+F1">
    <w:altName w:val="Segoe Print"/>
    <w:panose1 w:val="00000000000000000000"/>
    <w:charset w:val="00"/>
    <w:family w:val="auto"/>
    <w:pitch w:val="default"/>
    <w:sig w:usb0="00000000" w:usb1="00000000" w:usb2="00000000" w:usb3="00000000" w:csb0="00000001" w:csb1="00000000"/>
  </w:font>
  <w:font w:name="CIDFont+F3">
    <w:altName w:val="Segoe Print"/>
    <w:panose1 w:val="00000000000000000000"/>
    <w:charset w:val="00"/>
    <w:family w:val="auto"/>
    <w:pitch w:val="default"/>
    <w:sig w:usb0="00000000" w:usb1="00000000" w:usb2="00000000" w:usb3="00000000" w:csb0="00000001" w:csb1="00000000"/>
  </w:font>
  <w:font w:name="CIDFont+F4">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TimesNewRoma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70859690">
    <w:nsid w:val="63974BAA"/>
    <w:multiLevelType w:val="singleLevel"/>
    <w:tmpl w:val="63974BAA"/>
    <w:lvl w:ilvl="0" w:tentative="1">
      <w:start w:val="1"/>
      <w:numFmt w:val="decimal"/>
      <w:suff w:val="space"/>
      <w:lvlText w:val="%1)"/>
      <w:lvlJc w:val="left"/>
    </w:lvl>
  </w:abstractNum>
  <w:abstractNum w:abstractNumId="1670860152">
    <w:nsid w:val="63974D78"/>
    <w:multiLevelType w:val="singleLevel"/>
    <w:tmpl w:val="63974D78"/>
    <w:lvl w:ilvl="0" w:tentative="1">
      <w:start w:val="1"/>
      <w:numFmt w:val="decimal"/>
      <w:suff w:val="space"/>
      <w:lvlText w:val="%1)"/>
      <w:lvlJc w:val="left"/>
    </w:lvl>
  </w:abstractNum>
  <w:num w:numId="1">
    <w:abstractNumId w:val="1670859690"/>
  </w:num>
  <w:num w:numId="2">
    <w:abstractNumId w:val="1670860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annotation subject"/>
    <w:lsdException w:unhideWhenUsed="0" w:uiPriority="0" w:name="Balloon Text"/>
  </w:latentStyles>
  <w:style w:type="paragraph" w:default="1" w:styleId="1">
    <w:name w:val="Normal"/>
    <w:uiPriority w:val="0"/>
    <w:pPr>
      <w:widowControl w:val="0"/>
      <w:jc w:val="left"/>
    </w:pPr>
    <w:rPr>
      <w:rFonts w:ascii="Times New Roman" w:hAnsi="Times New Roman" w:eastAsia="SimSun" w:cs="Times New Roman"/>
      <w:kern w:val="2"/>
      <w:sz w:val="24"/>
      <w:lang w:val="en-US" w:eastAsia="zh-CN" w:bidi="ar-SA"/>
    </w:rPr>
  </w:style>
  <w:style w:type="paragraph" w:styleId="2">
    <w:name w:val="heading 1"/>
    <w:basedOn w:val="1"/>
    <w:next w:val="1"/>
    <w:uiPriority w:val="0"/>
    <w:pPr>
      <w:keepNext/>
      <w:keepLines/>
      <w:spacing w:before="240" w:beforeAutospacing="0" w:after="60" w:afterAutospacing="0" w:line="240" w:lineRule="auto"/>
      <w:outlineLvl w:val="0"/>
    </w:pPr>
    <w:rPr>
      <w:rFonts w:ascii="Arial" w:hAnsi="Arial"/>
      <w:b/>
      <w:kern w:val="44"/>
      <w:sz w:val="32"/>
    </w:rPr>
  </w:style>
  <w:style w:type="paragraph" w:styleId="3">
    <w:name w:val="heading 2"/>
    <w:basedOn w:val="1"/>
    <w:next w:val="1"/>
    <w:uiPriority w:val="0"/>
    <w:pPr>
      <w:keepNext/>
      <w:keepLines/>
      <w:spacing w:before="240" w:beforeAutospacing="0" w:after="60" w:afterAutospacing="0" w:line="240" w:lineRule="auto"/>
      <w:outlineLvl w:val="1"/>
    </w:pPr>
    <w:rPr>
      <w:rFonts w:ascii="Arial" w:hAnsi="Arial"/>
      <w:b/>
      <w:i/>
      <w:sz w:val="28"/>
    </w:rPr>
  </w:style>
  <w:style w:type="paragraph" w:styleId="4">
    <w:name w:val="heading 3"/>
    <w:basedOn w:val="1"/>
    <w:next w:val="1"/>
    <w:uiPriority w:val="0"/>
    <w:pPr>
      <w:keepNext/>
      <w:keepLines/>
      <w:spacing w:before="240" w:beforeAutospacing="0" w:after="60" w:afterAutospacing="0" w:line="240" w:lineRule="auto"/>
      <w:outlineLvl w:val="2"/>
    </w:pPr>
    <w:rPr>
      <w:rFonts w:ascii="Arial" w:hAnsi="Arial"/>
      <w:b/>
      <w:sz w:val="26"/>
    </w:rPr>
  </w:style>
  <w:style w:type="paragraph" w:styleId="5">
    <w:name w:val="heading 4"/>
    <w:basedOn w:val="1"/>
    <w:next w:val="1"/>
    <w:uiPriority w:val="0"/>
    <w:pPr>
      <w:keepNext/>
      <w:keepLines/>
      <w:spacing w:before="240" w:beforeAutospacing="0" w:after="60" w:afterAutospacing="0" w:line="240" w:lineRule="auto"/>
      <w:outlineLvl w:val="3"/>
    </w:pPr>
    <w:rPr>
      <w:rFonts w:ascii="Times New Roman" w:hAnsi="Times New Roman"/>
      <w:b/>
      <w:sz w:val="28"/>
    </w:rPr>
  </w:style>
  <w:style w:type="paragraph" w:styleId="6">
    <w:name w:val="heading 5"/>
    <w:basedOn w:val="1"/>
    <w:next w:val="1"/>
    <w:uiPriority w:val="0"/>
    <w:pPr>
      <w:keepNext/>
      <w:keepLines/>
      <w:spacing w:before="240" w:beforeAutospacing="0" w:after="60" w:afterAutospacing="0" w:line="240" w:lineRule="auto"/>
      <w:outlineLvl w:val="4"/>
    </w:pPr>
    <w:rPr>
      <w:b/>
      <w:i/>
      <w:sz w:val="26"/>
    </w:rPr>
  </w:style>
  <w:style w:type="paragraph" w:styleId="7">
    <w:name w:val="heading 6"/>
    <w:basedOn w:val="1"/>
    <w:next w:val="1"/>
    <w:uiPriority w:val="0"/>
    <w:pPr>
      <w:keepNext/>
      <w:keepLines/>
      <w:spacing w:before="240" w:beforeAutospacing="0" w:after="60" w:afterAutospacing="0" w:line="240" w:lineRule="auto"/>
      <w:outlineLvl w:val="5"/>
    </w:pPr>
    <w:rPr>
      <w:rFonts w:ascii="Times New Roman" w:hAnsi="Times New Roman"/>
      <w:b/>
      <w:sz w:val="22"/>
    </w:rPr>
  </w:style>
  <w:style w:type="paragraph" w:styleId="8">
    <w:name w:val="heading 7"/>
    <w:basedOn w:val="1"/>
    <w:next w:val="1"/>
    <w:uiPriority w:val="0"/>
    <w:pPr>
      <w:keepNext/>
      <w:keepLines/>
      <w:spacing w:before="240" w:beforeAutospacing="0" w:after="60" w:afterAutospacing="0" w:line="240" w:lineRule="auto"/>
      <w:outlineLvl w:val="6"/>
    </w:pPr>
    <w:rPr>
      <w:sz w:val="24"/>
    </w:rPr>
  </w:style>
  <w:style w:type="paragraph" w:styleId="9">
    <w:name w:val="heading 8"/>
    <w:basedOn w:val="1"/>
    <w:next w:val="1"/>
    <w:uiPriority w:val="0"/>
    <w:pPr>
      <w:keepNext/>
      <w:keepLines/>
      <w:spacing w:before="240" w:beforeAutospacing="0" w:after="60" w:afterAutospacing="0" w:line="240" w:lineRule="auto"/>
      <w:outlineLvl w:val="7"/>
    </w:pPr>
    <w:rPr>
      <w:rFonts w:ascii="Times New Roman" w:hAnsi="Times New Roman"/>
      <w:i/>
      <w:sz w:val="24"/>
    </w:rPr>
  </w:style>
  <w:style w:type="paragraph" w:styleId="10">
    <w:name w:val="heading 9"/>
    <w:basedOn w:val="1"/>
    <w:next w:val="1"/>
    <w:uiPriority w:val="0"/>
    <w:pPr>
      <w:keepNext/>
      <w:keepLines/>
      <w:spacing w:before="240" w:beforeAutospacing="0" w:after="60" w:afterAutospacing="0" w:line="240" w:lineRule="auto"/>
      <w:outlineLvl w:val="8"/>
    </w:pPr>
    <w:rPr>
      <w:rFonts w:ascii="Arial" w:hAnsi="Arial"/>
      <w:sz w:val="22"/>
    </w:rPr>
  </w:style>
  <w:style w:type="character" w:default="1" w:styleId="13">
    <w:name w:val="Default Paragraph Font"/>
    <w:uiPriority w:val="0"/>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tabs>
        <w:tab w:val="center" w:pos="4153"/>
        <w:tab w:val="right" w:pos="8306"/>
      </w:tabs>
      <w:snapToGrid w:val="0"/>
    </w:pPr>
    <w:rPr>
      <w:sz w:val="18"/>
      <w:szCs w:val="18"/>
    </w:rPr>
  </w:style>
  <w:style w:type="character" w:styleId="14">
    <w:name w:val="Emphasis"/>
    <w:uiPriority w:val="0"/>
    <w:rPr>
      <w:rFonts w:hint="default"/>
      <w:i/>
    </w:rPr>
  </w:style>
  <w:style w:type="character" w:styleId="15">
    <w:name w:val="FollowedHyperlink"/>
    <w:uiPriority w:val="0"/>
    <w:rPr>
      <w:rFonts w:hint="default"/>
      <w:color w:val="800080"/>
      <w:u w:val="single"/>
    </w:rPr>
  </w:style>
  <w:style w:type="character" w:styleId="16">
    <w:name w:val="Hyperlink"/>
    <w:uiPriority w:val="0"/>
    <w:rPr>
      <w:rFonts w:hint="default"/>
      <w:color w:val="0000FF"/>
      <w:u w:val="single"/>
    </w:rPr>
  </w:style>
  <w:style w:type="character" w:styleId="17">
    <w:name w:val="Strong"/>
    <w:uiPriority w:val="0"/>
    <w:rPr>
      <w:rFonts w:hint="default"/>
      <w:b/>
    </w:rPr>
  </w:style>
  <w:style w:type="paragraph" w:customStyle="1" w:styleId="18">
    <w:name w:val="Definition Term"/>
    <w:basedOn w:val="1"/>
    <w:next w:val="19"/>
    <w:unhideWhenUsed/>
    <w:uiPriority w:val="99"/>
    <w:pPr>
      <w:spacing w:before="0" w:after="0"/>
    </w:pPr>
    <w:rPr>
      <w:rFonts w:hint="default"/>
    </w:rPr>
  </w:style>
  <w:style w:type="paragraph" w:customStyle="1" w:styleId="19">
    <w:name w:val="Definition List"/>
    <w:basedOn w:val="1"/>
    <w:next w:val="18"/>
    <w:unhideWhenUsed/>
    <w:uiPriority w:val="99"/>
    <w:pPr>
      <w:spacing w:before="0" w:after="0"/>
      <w:ind w:left="360"/>
    </w:pPr>
    <w:rPr>
      <w:rFonts w:hint="default"/>
    </w:rPr>
  </w:style>
  <w:style w:type="paragraph" w:customStyle="1" w:styleId="20">
    <w:name w:val="H1"/>
    <w:basedOn w:val="1"/>
    <w:next w:val="1"/>
    <w:unhideWhenUsed/>
    <w:uiPriority w:val="99"/>
    <w:pPr>
      <w:keepNext/>
      <w:outlineLvl w:val="1"/>
    </w:pPr>
    <w:rPr>
      <w:rFonts w:hint="default"/>
      <w:b/>
      <w:kern w:val="36"/>
      <w:sz w:val="48"/>
    </w:rPr>
  </w:style>
  <w:style w:type="paragraph" w:customStyle="1" w:styleId="21">
    <w:name w:val="H2"/>
    <w:basedOn w:val="1"/>
    <w:next w:val="1"/>
    <w:unhideWhenUsed/>
    <w:uiPriority w:val="99"/>
    <w:pPr>
      <w:keepNext/>
      <w:outlineLvl w:val="2"/>
    </w:pPr>
    <w:rPr>
      <w:rFonts w:hint="default"/>
      <w:b/>
      <w:sz w:val="36"/>
    </w:rPr>
  </w:style>
  <w:style w:type="paragraph" w:customStyle="1" w:styleId="22">
    <w:name w:val="H3"/>
    <w:basedOn w:val="1"/>
    <w:next w:val="1"/>
    <w:unhideWhenUsed/>
    <w:uiPriority w:val="99"/>
    <w:pPr>
      <w:keepNext/>
      <w:outlineLvl w:val="3"/>
    </w:pPr>
    <w:rPr>
      <w:rFonts w:hint="default"/>
      <w:b/>
      <w:sz w:val="28"/>
    </w:rPr>
  </w:style>
  <w:style w:type="paragraph" w:customStyle="1" w:styleId="23">
    <w:name w:val="H4"/>
    <w:basedOn w:val="1"/>
    <w:next w:val="1"/>
    <w:unhideWhenUsed/>
    <w:uiPriority w:val="99"/>
    <w:pPr>
      <w:keepNext/>
      <w:outlineLvl w:val="4"/>
    </w:pPr>
    <w:rPr>
      <w:rFonts w:hint="default"/>
      <w:b/>
      <w:sz w:val="24"/>
    </w:rPr>
  </w:style>
  <w:style w:type="paragraph" w:customStyle="1" w:styleId="24">
    <w:name w:val="H5"/>
    <w:basedOn w:val="1"/>
    <w:next w:val="1"/>
    <w:unhideWhenUsed/>
    <w:uiPriority w:val="99"/>
    <w:pPr>
      <w:keepNext/>
      <w:outlineLvl w:val="5"/>
    </w:pPr>
    <w:rPr>
      <w:rFonts w:hint="default"/>
      <w:b/>
    </w:rPr>
  </w:style>
  <w:style w:type="paragraph" w:customStyle="1" w:styleId="25">
    <w:name w:val="H6"/>
    <w:basedOn w:val="1"/>
    <w:next w:val="1"/>
    <w:unhideWhenUsed/>
    <w:uiPriority w:val="99"/>
    <w:pPr>
      <w:keepNext/>
      <w:outlineLvl w:val="6"/>
    </w:pPr>
    <w:rPr>
      <w:rFonts w:hint="default"/>
      <w:b/>
      <w:sz w:val="16"/>
    </w:rPr>
  </w:style>
  <w:style w:type="paragraph" w:customStyle="1" w:styleId="26">
    <w:name w:val="Address"/>
    <w:basedOn w:val="1"/>
    <w:next w:val="1"/>
    <w:unhideWhenUsed/>
    <w:uiPriority w:val="99"/>
    <w:pPr>
      <w:spacing w:before="0" w:after="0"/>
    </w:pPr>
    <w:rPr>
      <w:rFonts w:hint="default"/>
      <w:i/>
    </w:rPr>
  </w:style>
  <w:style w:type="paragraph" w:customStyle="1" w:styleId="27">
    <w:name w:val="Blockquote"/>
    <w:basedOn w:val="1"/>
    <w:unhideWhenUsed/>
    <w:uiPriority w:val="99"/>
    <w:pPr>
      <w:ind w:left="360" w:right="360"/>
    </w:pPr>
    <w:rPr>
      <w:rFonts w:hint="default"/>
    </w:rPr>
  </w:style>
  <w:style w:type="paragraph" w:customStyle="1" w:styleId="28">
    <w:name w:val="Preformatted"/>
    <w:basedOn w:val="1"/>
    <w:unhideWhenUse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hint="default" w:ascii="Courier New" w:hAnsi="Courier New" w:eastAsia="Courier New"/>
    </w:rPr>
  </w:style>
  <w:style w:type="paragraph" w:customStyle="1" w:styleId="29">
    <w:name w:val="z-Bottom of Form"/>
    <w:next w:val="1"/>
    <w:hidden/>
    <w:unhideWhenUsed/>
    <w:uiPriority w:val="99"/>
    <w:pPr>
      <w:widowControl w:val="0"/>
      <w:pBdr>
        <w:top w:val="double" w:color="000000" w:sz="2" w:space="0"/>
      </w:pBdr>
      <w:autoSpaceDE w:val="0"/>
      <w:autoSpaceDN w:val="0"/>
      <w:jc w:val="center"/>
    </w:pPr>
    <w:rPr>
      <w:rFonts w:hint="default" w:ascii="Arial" w:hAnsi="Arial" w:eastAsia="Arial"/>
      <w:vanish/>
      <w:sz w:val="16"/>
    </w:rPr>
  </w:style>
  <w:style w:type="paragraph" w:customStyle="1" w:styleId="30">
    <w:name w:val="z-Top of Form"/>
    <w:next w:val="1"/>
    <w:hidden/>
    <w:unhideWhenUsed/>
    <w:uiPriority w:val="99"/>
    <w:pPr>
      <w:widowControl w:val="0"/>
      <w:pBdr>
        <w:bottom w:val="double" w:color="000000" w:sz="2" w:space="0"/>
      </w:pBdr>
      <w:autoSpaceDE w:val="0"/>
      <w:autoSpaceDN w:val="0"/>
      <w:jc w:val="center"/>
    </w:pPr>
    <w:rPr>
      <w:rFonts w:hint="default" w:ascii="Arial" w:hAnsi="Arial" w:eastAsia="Arial"/>
      <w:vanish/>
      <w:sz w:val="16"/>
    </w:rPr>
  </w:style>
  <w:style w:type="character" w:customStyle="1" w:styleId="31">
    <w:name w:val="Definition"/>
    <w:unhideWhenUsed/>
    <w:uiPriority w:val="99"/>
    <w:rPr>
      <w:rFonts w:hint="default"/>
      <w:i/>
    </w:rPr>
  </w:style>
  <w:style w:type="character" w:customStyle="1" w:styleId="32">
    <w:name w:val="CITE"/>
    <w:unhideWhenUsed/>
    <w:uiPriority w:val="99"/>
    <w:rPr>
      <w:rFonts w:hint="default"/>
      <w:i/>
    </w:rPr>
  </w:style>
  <w:style w:type="character" w:customStyle="1" w:styleId="33">
    <w:name w:val="CODE"/>
    <w:unhideWhenUsed/>
    <w:uiPriority w:val="99"/>
    <w:rPr>
      <w:rFonts w:hint="default" w:ascii="Courier New" w:hAnsi="Courier New" w:eastAsia="Courier New"/>
    </w:rPr>
  </w:style>
  <w:style w:type="character" w:customStyle="1" w:styleId="34">
    <w:name w:val="Keyboard"/>
    <w:unhideWhenUsed/>
    <w:uiPriority w:val="99"/>
    <w:rPr>
      <w:rFonts w:hint="default" w:ascii="Courier New" w:hAnsi="Courier New" w:eastAsia="Courier New"/>
      <w:b/>
    </w:rPr>
  </w:style>
  <w:style w:type="character" w:customStyle="1" w:styleId="35">
    <w:name w:val="Sample"/>
    <w:unhideWhenUsed/>
    <w:uiPriority w:val="99"/>
    <w:rPr>
      <w:rFonts w:hint="default" w:ascii="Courier New" w:hAnsi="Courier New" w:eastAsia="Courier New"/>
    </w:rPr>
  </w:style>
  <w:style w:type="character" w:customStyle="1" w:styleId="36">
    <w:name w:val="Typewriter"/>
    <w:unhideWhenUsed/>
    <w:uiPriority w:val="99"/>
    <w:rPr>
      <w:rFonts w:hint="default" w:ascii="Courier New" w:hAnsi="Courier New" w:eastAsia="Courier New"/>
    </w:rPr>
  </w:style>
  <w:style w:type="character" w:customStyle="1" w:styleId="37">
    <w:name w:val="Variable"/>
    <w:unhideWhenUsed/>
    <w:uiPriority w:val="99"/>
    <w:rPr>
      <w:rFonts w:hint="default"/>
      <w:i/>
    </w:rPr>
  </w:style>
  <w:style w:type="character" w:customStyle="1" w:styleId="38">
    <w:name w:val="HTML Markup"/>
    <w:unhideWhenUsed/>
    <w:uiPriority w:val="99"/>
    <w:rPr>
      <w:rFonts w:hint="default"/>
      <w:vanish/>
      <w:color w:val="FF0000"/>
    </w:rPr>
  </w:style>
  <w:style w:type="character" w:customStyle="1" w:styleId="39">
    <w:name w:val="Comment"/>
    <w:unhideWhenUsed/>
    <w:uiPriority w:val="99"/>
    <w:rPr>
      <w:rFonts w:hint="default"/>
      <w:vanish/>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1</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2010-05-06T13:11:00Z</dcterms:created>
  <dc:creator>Malcolm Percy</dc:creator>
  <cp:lastModifiedBy>Malcolm Percy</cp:lastModifiedBy>
  <cp:lastPrinted>2411-12-30T00:00:00Z</cp:lastPrinted>
  <dcterms:modified xsi:type="dcterms:W3CDTF">2022-12-12T17:31:35Z</dcterms:modified>
  <dc:title>Design and Access Statement for erection of single storey detached agricultural storage building at Brown Hill Farm, Rooley Moor Road, Rochdale, OL12 6BN. (Part retrospective).</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