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rPr>
          <w:b/>
          <w:bCs/>
          <w:u w:val="single" w:color="auto"/>
          <w:lang w:val="en-UK"/>
        </w:rPr>
      </w:pPr>
      <w:r>
        <w:rPr>
          <w:b/>
          <w:bCs/>
          <w:u w:val="single" w:color="auto"/>
          <w:lang w:val="en-UK"/>
        </w:rPr>
        <w:t>Planning statement for the c</w:t>
      </w:r>
      <w:bookmarkStart w:id="0" w:name="_GoBack"/>
      <w:bookmarkEnd w:id="0"/>
      <w:r>
        <w:rPr>
          <w:b/>
          <w:bCs/>
          <w:u w:val="single" w:color="auto"/>
          <w:lang w:val="en-UK"/>
        </w:rPr>
        <w:t>hange of use of ground and first floors from mixed uses (residential, offices, gymnasium) into Class E (Commercial, business and service).</w:t>
      </w:r>
    </w:p>
    <w:p>
      <w:pPr>
        <w:jc w:val="center"/>
        <w:rPr>
          <w:b/>
          <w:bCs/>
          <w:u w:val="single" w:color="auto"/>
          <w:lang w:val="en-UK"/>
        </w:rPr>
      </w:pPr>
      <w:r>
        <w:rPr>
          <w:b/>
          <w:bCs/>
          <w:u w:val="single" w:color="auto"/>
          <w:lang w:val="en-UK"/>
        </w:rPr>
        <w:t>3-5 Summer Street, Rochdale, OL16 1SY.</w:t>
      </w:r>
    </w:p>
    <w:p>
      <w:pPr>
        <w:jc w:val="center"/>
        <w:rPr>
          <w:b/>
          <w:bCs/>
          <w:u w:val="single" w:color="auto"/>
          <w:lang w:val="en-UK"/>
        </w:rPr>
      </w:pPr>
    </w:p>
    <w:p>
      <w:pPr>
        <w:jc w:val="both"/>
        <w:rPr>
          <w:b/>
          <w:bCs/>
          <w:u w:val="single" w:color="auto"/>
          <w:lang w:val="en-UK"/>
        </w:rPr>
      </w:pPr>
      <w:r>
        <w:rPr>
          <w:b/>
          <w:bCs/>
          <w:u w:val="single" w:color="auto"/>
          <w:lang w:val="en-UK"/>
        </w:rPr>
        <w:t>USE</w:t>
      </w:r>
    </w:p>
    <w:p>
      <w:pPr>
        <w:jc w:val="both"/>
        <w:rPr>
          <w:b w:val="0"/>
          <w:bCs w:val="0"/>
          <w:lang w:val="en-UK"/>
        </w:rPr>
      </w:pPr>
    </w:p>
    <w:p>
      <w:pPr>
        <w:jc w:val="both"/>
        <w:rPr>
          <w:b w:val="0"/>
          <w:bCs w:val="0"/>
          <w:lang w:val="en-UK"/>
        </w:rPr>
      </w:pPr>
      <w:r>
        <w:rPr>
          <w:b w:val="0"/>
          <w:bCs w:val="0"/>
          <w:lang w:val="en-UK"/>
        </w:rPr>
        <w:t>The building, thought to have been constructed sometime in the mid - late 19</w:t>
      </w:r>
      <w:r>
        <w:rPr>
          <w:b w:val="0"/>
          <w:bCs w:val="0"/>
          <w:vertAlign w:val="superscript"/>
          <w:lang w:val="en-UK"/>
        </w:rPr>
        <w:t>th</w:t>
      </w:r>
      <w:r>
        <w:rPr>
          <w:b w:val="0"/>
          <w:bCs w:val="0"/>
          <w:lang w:val="en-UK"/>
        </w:rPr>
        <w:t xml:space="preserve"> century, has had a variety of uses in the ensuing period, predominantly within the commercial / industrial sphere. The current use is as follows -</w:t>
      </w:r>
    </w:p>
    <w:p>
      <w:pPr>
        <w:jc w:val="both"/>
        <w:rPr>
          <w:b w:val="0"/>
          <w:bCs w:val="0"/>
          <w:lang w:val="en-UK"/>
        </w:rPr>
      </w:pPr>
    </w:p>
    <w:p>
      <w:pPr>
        <w:jc w:val="both"/>
        <w:rPr>
          <w:b w:val="0"/>
          <w:bCs w:val="0"/>
          <w:lang w:val="en-UK"/>
        </w:rPr>
      </w:pPr>
      <w:r>
        <w:rPr>
          <w:b w:val="0"/>
          <w:bCs w:val="0"/>
          <w:lang w:val="en-UK"/>
        </w:rPr>
        <w:t>Ground floor - two small offices, a residential unit and a gymnasium.</w:t>
      </w:r>
    </w:p>
    <w:p>
      <w:pPr>
        <w:jc w:val="both"/>
        <w:rPr>
          <w:b w:val="0"/>
          <w:bCs w:val="0"/>
          <w:lang w:val="en-UK"/>
        </w:rPr>
      </w:pPr>
    </w:p>
    <w:p>
      <w:pPr>
        <w:jc w:val="both"/>
        <w:rPr>
          <w:b w:val="0"/>
          <w:bCs w:val="0"/>
          <w:lang w:val="en-UK"/>
        </w:rPr>
      </w:pPr>
      <w:r>
        <w:rPr>
          <w:b w:val="0"/>
          <w:bCs w:val="0"/>
          <w:lang w:val="en-UK"/>
        </w:rPr>
        <w:t>First floor - Residential unit.</w:t>
      </w:r>
    </w:p>
    <w:p>
      <w:pPr>
        <w:jc w:val="both"/>
        <w:rPr>
          <w:b w:val="0"/>
          <w:bCs w:val="0"/>
          <w:lang w:val="en-UK"/>
        </w:rPr>
      </w:pPr>
    </w:p>
    <w:p>
      <w:pPr>
        <w:jc w:val="both"/>
        <w:rPr>
          <w:b w:val="0"/>
          <w:bCs w:val="0"/>
          <w:lang w:val="en-UK"/>
        </w:rPr>
      </w:pPr>
      <w:r>
        <w:rPr>
          <w:b w:val="0"/>
          <w:bCs w:val="0"/>
          <w:lang w:val="en-UK"/>
        </w:rPr>
        <w:t>The proposal is to remove the residential uses and to obtain a blanket Class E (Commercial, business and service) use for the whole building.</w:t>
      </w:r>
    </w:p>
    <w:p>
      <w:pPr>
        <w:jc w:val="both"/>
        <w:rPr>
          <w:b w:val="0"/>
          <w:bCs w:val="0"/>
          <w:lang w:val="en-UK"/>
        </w:rPr>
      </w:pPr>
    </w:p>
    <w:p>
      <w:pPr>
        <w:jc w:val="both"/>
        <w:rPr>
          <w:b w:val="0"/>
          <w:bCs w:val="0"/>
          <w:lang w:val="en-UK"/>
        </w:rPr>
      </w:pPr>
      <w:r>
        <w:rPr>
          <w:b w:val="0"/>
          <w:bCs w:val="0"/>
          <w:lang w:val="en-UK"/>
        </w:rPr>
        <w:t>There are no extensions or alterations proposed to the external appearance of the building.</w:t>
      </w:r>
    </w:p>
    <w:p>
      <w:pPr>
        <w:jc w:val="both"/>
        <w:rPr>
          <w:b w:val="0"/>
          <w:bCs w:val="0"/>
          <w:lang w:val="en-UK"/>
        </w:rPr>
      </w:pPr>
    </w:p>
    <w:p>
      <w:pPr>
        <w:jc w:val="both"/>
        <w:rPr>
          <w:b w:val="0"/>
          <w:bCs w:val="0"/>
          <w:lang w:val="en-UK"/>
        </w:rPr>
      </w:pPr>
      <w:r>
        <w:rPr>
          <w:b w:val="0"/>
          <w:bCs w:val="0"/>
          <w:lang w:val="en-UK"/>
        </w:rPr>
        <w:t>The surrounding area is a mix of HMO style residential accommodation and commercial / industrial uses and as such the change of use would be acceptable.</w:t>
      </w:r>
    </w:p>
    <w:p>
      <w:pPr>
        <w:jc w:val="both"/>
        <w:rPr>
          <w:b w:val="0"/>
          <w:bCs w:val="0"/>
          <w:lang w:val="en-UK"/>
        </w:rPr>
      </w:pPr>
    </w:p>
    <w:p>
      <w:pPr>
        <w:jc w:val="both"/>
        <w:rPr>
          <w:b/>
          <w:bCs/>
          <w:u w:val="single" w:color="auto"/>
          <w:lang w:val="en-UK"/>
        </w:rPr>
      </w:pPr>
      <w:r>
        <w:rPr>
          <w:b/>
          <w:bCs/>
          <w:u w:val="single" w:color="auto"/>
          <w:lang w:val="en-UK"/>
        </w:rPr>
        <w:t>AMOUNT</w:t>
      </w:r>
    </w:p>
    <w:p>
      <w:pPr>
        <w:jc w:val="both"/>
        <w:rPr>
          <w:b w:val="0"/>
          <w:bCs w:val="0"/>
          <w:lang w:val="en-UK"/>
        </w:rPr>
      </w:pPr>
    </w:p>
    <w:p>
      <w:pPr>
        <w:jc w:val="both"/>
        <w:rPr>
          <w:b w:val="0"/>
          <w:bCs w:val="0"/>
          <w:lang w:val="en-UK"/>
        </w:rPr>
      </w:pPr>
      <w:r>
        <w:rPr>
          <w:b w:val="0"/>
          <w:bCs w:val="0"/>
          <w:lang w:val="en-UK"/>
        </w:rPr>
        <w:t xml:space="preserve">The building is not to be extended and as such the ground and first floor areas will remain the same. </w:t>
      </w:r>
    </w:p>
    <w:p>
      <w:pPr>
        <w:jc w:val="both"/>
        <w:rPr>
          <w:b w:val="0"/>
          <w:bCs w:val="0"/>
          <w:lang w:val="en-UK"/>
        </w:rPr>
      </w:pPr>
    </w:p>
    <w:p>
      <w:pPr>
        <w:jc w:val="both"/>
        <w:rPr>
          <w:b w:val="0"/>
          <w:bCs w:val="0"/>
          <w:lang w:val="en-UK"/>
        </w:rPr>
      </w:pPr>
      <w:r>
        <w:rPr>
          <w:b w:val="0"/>
          <w:bCs w:val="0"/>
          <w:lang w:val="en-UK"/>
        </w:rPr>
        <w:t xml:space="preserve">The approximate floor areas are as follows - </w:t>
      </w:r>
    </w:p>
    <w:p>
      <w:pPr>
        <w:jc w:val="both"/>
        <w:rPr>
          <w:b w:val="0"/>
          <w:bCs w:val="0"/>
          <w:lang w:val="en-UK"/>
        </w:rPr>
      </w:pPr>
    </w:p>
    <w:p>
      <w:pPr>
        <w:jc w:val="both"/>
        <w:rPr>
          <w:b w:val="0"/>
          <w:bCs w:val="0"/>
          <w:lang w:val="en-UK"/>
        </w:rPr>
      </w:pPr>
      <w:r>
        <w:rPr>
          <w:b w:val="0"/>
          <w:bCs w:val="0"/>
          <w:lang w:val="en-UK"/>
        </w:rPr>
        <w:t>Existing ground floor (excluding circulation areas)</w:t>
      </w:r>
    </w:p>
    <w:p>
      <w:pPr>
        <w:jc w:val="both"/>
        <w:rPr>
          <w:b w:val="0"/>
          <w:bCs w:val="0"/>
          <w:lang w:val="en-UK"/>
        </w:rPr>
      </w:pPr>
      <w:r>
        <w:rPr>
          <w:b w:val="0"/>
          <w:bCs w:val="0"/>
          <w:lang w:val="en-UK"/>
        </w:rPr>
        <w:t>Offices - 23.50m2</w:t>
      </w:r>
    </w:p>
    <w:p>
      <w:pPr>
        <w:jc w:val="both"/>
        <w:rPr>
          <w:b w:val="0"/>
          <w:bCs w:val="0"/>
          <w:lang w:val="en-UK"/>
        </w:rPr>
      </w:pPr>
      <w:r>
        <w:rPr>
          <w:b w:val="0"/>
          <w:bCs w:val="0"/>
          <w:lang w:val="en-UK"/>
        </w:rPr>
        <w:t>Residential - 90m2</w:t>
      </w:r>
    </w:p>
    <w:p>
      <w:pPr>
        <w:jc w:val="both"/>
        <w:rPr>
          <w:b w:val="0"/>
          <w:bCs w:val="0"/>
          <w:lang w:val="en-UK"/>
        </w:rPr>
      </w:pPr>
      <w:r>
        <w:rPr>
          <w:b w:val="0"/>
          <w:bCs w:val="0"/>
          <w:lang w:val="en-UK"/>
        </w:rPr>
        <w:t>Gymnasium - 68.33m2</w:t>
      </w:r>
    </w:p>
    <w:p>
      <w:pPr>
        <w:jc w:val="both"/>
        <w:rPr>
          <w:b w:val="0"/>
          <w:bCs w:val="0"/>
          <w:lang w:val="en-UK"/>
        </w:rPr>
      </w:pPr>
    </w:p>
    <w:p>
      <w:pPr>
        <w:jc w:val="both"/>
        <w:rPr>
          <w:b w:val="0"/>
          <w:bCs w:val="0"/>
          <w:lang w:val="en-UK"/>
        </w:rPr>
      </w:pPr>
      <w:r>
        <w:rPr>
          <w:b w:val="0"/>
          <w:bCs w:val="0"/>
          <w:lang w:val="en-UK"/>
        </w:rPr>
        <w:t>Existing first floor</w:t>
      </w:r>
    </w:p>
    <w:p>
      <w:pPr>
        <w:jc w:val="both"/>
        <w:rPr>
          <w:b w:val="0"/>
          <w:bCs w:val="0"/>
          <w:lang w:val="en-UK"/>
        </w:rPr>
      </w:pPr>
      <w:r>
        <w:rPr>
          <w:b w:val="0"/>
          <w:bCs w:val="0"/>
          <w:lang w:val="en-UK"/>
        </w:rPr>
        <w:t>Residential - 106m2</w:t>
      </w:r>
    </w:p>
    <w:p>
      <w:pPr>
        <w:jc w:val="both"/>
        <w:rPr>
          <w:b w:val="0"/>
          <w:bCs w:val="0"/>
          <w:lang w:val="en-UK"/>
        </w:rPr>
      </w:pPr>
    </w:p>
    <w:p>
      <w:pPr>
        <w:jc w:val="both"/>
        <w:rPr>
          <w:b w:val="0"/>
          <w:bCs w:val="0"/>
          <w:lang w:val="en-UK"/>
        </w:rPr>
      </w:pPr>
      <w:r>
        <w:rPr>
          <w:b w:val="0"/>
          <w:bCs w:val="0"/>
          <w:lang w:val="en-UK"/>
        </w:rPr>
        <w:t>Proposed ground floor (including gymnasium and circulation areas)</w:t>
      </w:r>
    </w:p>
    <w:p>
      <w:pPr>
        <w:jc w:val="both"/>
        <w:rPr>
          <w:b w:val="0"/>
          <w:bCs w:val="0"/>
          <w:lang w:val="en-UK"/>
        </w:rPr>
      </w:pPr>
      <w:r>
        <w:rPr>
          <w:b w:val="0"/>
          <w:bCs w:val="0"/>
          <w:lang w:val="en-UK"/>
        </w:rPr>
        <w:t>Class E - 205m2</w:t>
      </w:r>
    </w:p>
    <w:p>
      <w:pPr>
        <w:jc w:val="both"/>
        <w:rPr>
          <w:b w:val="0"/>
          <w:bCs w:val="0"/>
          <w:lang w:val="en-UK"/>
        </w:rPr>
      </w:pPr>
    </w:p>
    <w:p>
      <w:pPr>
        <w:jc w:val="both"/>
        <w:rPr>
          <w:b w:val="0"/>
          <w:bCs w:val="0"/>
          <w:lang w:val="en-UK"/>
        </w:rPr>
      </w:pPr>
      <w:r>
        <w:rPr>
          <w:b w:val="0"/>
          <w:bCs w:val="0"/>
          <w:lang w:val="en-UK"/>
        </w:rPr>
        <w:t>Proposed first floor</w:t>
      </w:r>
    </w:p>
    <w:p>
      <w:pPr>
        <w:jc w:val="both"/>
        <w:rPr>
          <w:b w:val="0"/>
          <w:bCs w:val="0"/>
          <w:lang w:val="en-UK"/>
        </w:rPr>
      </w:pPr>
      <w:r>
        <w:rPr>
          <w:b w:val="0"/>
          <w:bCs w:val="0"/>
          <w:lang w:val="en-UK"/>
        </w:rPr>
        <w:t>Class E - 106m2</w:t>
      </w:r>
    </w:p>
    <w:p>
      <w:pPr>
        <w:jc w:val="both"/>
        <w:rPr>
          <w:b w:val="0"/>
          <w:bCs w:val="0"/>
          <w:lang w:val="en-UK"/>
        </w:rPr>
      </w:pPr>
    </w:p>
    <w:p>
      <w:pPr>
        <w:jc w:val="both"/>
        <w:rPr>
          <w:b/>
          <w:bCs/>
          <w:u w:val="single" w:color="auto"/>
          <w:lang w:val="en-UK"/>
        </w:rPr>
      </w:pPr>
      <w:r>
        <w:rPr>
          <w:b/>
          <w:bCs/>
          <w:u w:val="single" w:color="auto"/>
          <w:lang w:val="en-UK"/>
        </w:rPr>
        <w:t>LAYOUT</w:t>
      </w:r>
    </w:p>
    <w:p>
      <w:pPr>
        <w:jc w:val="both"/>
        <w:rPr>
          <w:b w:val="0"/>
          <w:bCs w:val="0"/>
          <w:lang w:val="en-UK"/>
        </w:rPr>
      </w:pPr>
    </w:p>
    <w:p>
      <w:pPr>
        <w:jc w:val="both"/>
        <w:rPr>
          <w:b w:val="0"/>
          <w:bCs w:val="0"/>
          <w:lang w:val="en-UK"/>
        </w:rPr>
      </w:pPr>
      <w:r>
        <w:rPr>
          <w:b w:val="0"/>
          <w:bCs w:val="0"/>
          <w:lang w:val="en-UK"/>
        </w:rPr>
        <w:t>There will be no external changes to the building.</w:t>
      </w:r>
    </w:p>
    <w:p>
      <w:pPr>
        <w:jc w:val="both"/>
        <w:rPr>
          <w:b w:val="0"/>
          <w:bCs w:val="0"/>
          <w:lang w:val="en-UK"/>
        </w:rPr>
      </w:pPr>
    </w:p>
    <w:p>
      <w:pPr>
        <w:jc w:val="both"/>
        <w:rPr>
          <w:b/>
          <w:bCs/>
          <w:u w:val="single" w:color="auto"/>
          <w:lang w:val="en-UK"/>
        </w:rPr>
      </w:pPr>
      <w:r>
        <w:rPr>
          <w:b/>
          <w:bCs/>
          <w:u w:val="single" w:color="auto"/>
          <w:lang w:val="en-UK"/>
        </w:rPr>
        <w:t>SCALE</w:t>
      </w:r>
    </w:p>
    <w:p>
      <w:pPr>
        <w:jc w:val="both"/>
        <w:rPr>
          <w:b w:val="0"/>
          <w:bCs w:val="0"/>
          <w:lang w:val="en-UK"/>
        </w:rPr>
      </w:pPr>
    </w:p>
    <w:p>
      <w:pPr>
        <w:jc w:val="both"/>
        <w:rPr>
          <w:b w:val="0"/>
          <w:bCs w:val="0"/>
          <w:lang w:val="en-UK"/>
        </w:rPr>
      </w:pPr>
      <w:r>
        <w:rPr>
          <w:b w:val="0"/>
          <w:bCs w:val="0"/>
          <w:lang w:val="en-UK"/>
        </w:rPr>
        <w:t>There will be no changes to the footprint or height of the existing building.</w:t>
      </w:r>
    </w:p>
    <w:p>
      <w:pPr>
        <w:jc w:val="both"/>
        <w:rPr>
          <w:b w:val="0"/>
          <w:bCs w:val="0"/>
          <w:lang w:val="en-UK"/>
        </w:rPr>
      </w:pPr>
    </w:p>
    <w:p>
      <w:pPr>
        <w:jc w:val="both"/>
        <w:rPr>
          <w:b/>
          <w:bCs/>
          <w:u w:val="single" w:color="auto"/>
          <w:lang w:val="en-UK"/>
        </w:rPr>
      </w:pPr>
      <w:r>
        <w:rPr>
          <w:b/>
          <w:bCs/>
          <w:u w:val="single" w:color="auto"/>
          <w:lang w:val="en-UK"/>
        </w:rPr>
        <w:t>LANDSCAPING</w:t>
      </w:r>
    </w:p>
    <w:p>
      <w:pPr>
        <w:jc w:val="both"/>
        <w:rPr>
          <w:b w:val="0"/>
          <w:bCs w:val="0"/>
          <w:lang w:val="en-UK"/>
        </w:rPr>
      </w:pPr>
    </w:p>
    <w:p>
      <w:pPr>
        <w:jc w:val="both"/>
        <w:rPr>
          <w:b w:val="0"/>
          <w:bCs w:val="0"/>
          <w:lang w:val="en-UK"/>
        </w:rPr>
      </w:pPr>
      <w:r>
        <w:rPr>
          <w:b w:val="0"/>
          <w:bCs w:val="0"/>
          <w:lang w:val="en-UK"/>
        </w:rPr>
        <w:t>There are no proposals to landscape the site.</w:t>
      </w:r>
    </w:p>
    <w:p>
      <w:pPr>
        <w:jc w:val="both"/>
        <w:rPr>
          <w:b w:val="0"/>
          <w:bCs w:val="0"/>
          <w:lang w:val="en-UK"/>
        </w:rPr>
      </w:pPr>
    </w:p>
    <w:p>
      <w:pPr>
        <w:jc w:val="both"/>
        <w:rPr>
          <w:b/>
          <w:bCs/>
          <w:u w:val="single" w:color="auto"/>
          <w:lang w:val="en-UK"/>
        </w:rPr>
      </w:pPr>
      <w:r>
        <w:rPr>
          <w:b/>
          <w:bCs/>
          <w:u w:val="single" w:color="auto"/>
          <w:lang w:val="en-UK"/>
        </w:rPr>
        <w:t>APPEARANCE</w:t>
      </w:r>
    </w:p>
    <w:p>
      <w:pPr>
        <w:jc w:val="both"/>
        <w:rPr>
          <w:b w:val="0"/>
          <w:bCs w:val="0"/>
          <w:lang w:val="en-UK"/>
        </w:rPr>
      </w:pPr>
    </w:p>
    <w:p>
      <w:pPr>
        <w:jc w:val="both"/>
        <w:rPr>
          <w:b w:val="0"/>
          <w:bCs w:val="0"/>
          <w:lang w:val="en-UK"/>
        </w:rPr>
      </w:pPr>
      <w:r>
        <w:rPr>
          <w:b w:val="0"/>
          <w:bCs w:val="0"/>
          <w:lang w:val="en-UK"/>
        </w:rPr>
        <w:t>There will be no changes to the external appearance of the building.</w:t>
      </w:r>
    </w:p>
    <w:p>
      <w:pPr>
        <w:jc w:val="both"/>
        <w:rPr>
          <w:b w:val="0"/>
          <w:bCs w:val="0"/>
          <w:lang w:val="en-UK"/>
        </w:rPr>
      </w:pPr>
    </w:p>
    <w:p>
      <w:pPr>
        <w:jc w:val="both"/>
        <w:rPr>
          <w:b/>
          <w:bCs/>
          <w:u w:val="single" w:color="auto"/>
          <w:lang w:val="en-UK"/>
        </w:rPr>
      </w:pPr>
      <w:r>
        <w:rPr>
          <w:b/>
          <w:bCs/>
          <w:u w:val="single" w:color="auto"/>
          <w:lang w:val="en-UK"/>
        </w:rPr>
        <w:t>ACCESS</w:t>
      </w:r>
    </w:p>
    <w:p>
      <w:pPr>
        <w:jc w:val="both"/>
        <w:rPr>
          <w:b w:val="0"/>
          <w:bCs w:val="0"/>
          <w:lang w:val="en-UK"/>
        </w:rPr>
      </w:pPr>
    </w:p>
    <w:p>
      <w:pPr>
        <w:jc w:val="both"/>
        <w:rPr>
          <w:b w:val="0"/>
          <w:bCs w:val="0"/>
          <w:lang w:val="en-UK"/>
        </w:rPr>
      </w:pPr>
      <w:r>
        <w:rPr>
          <w:b w:val="0"/>
          <w:bCs w:val="0"/>
          <w:lang w:val="en-UK"/>
        </w:rPr>
        <w:t>All existing entrance and loading doors will be retained.</w:t>
      </w:r>
    </w:p>
    <w:p>
      <w:pPr>
        <w:jc w:val="both"/>
        <w:rPr>
          <w:b w:val="0"/>
          <w:bCs w:val="0"/>
          <w:lang w:val="en-UK"/>
        </w:rPr>
      </w:pPr>
    </w:p>
    <w:p>
      <w:pPr>
        <w:jc w:val="both"/>
        <w:rPr>
          <w:b w:val="0"/>
          <w:bCs w:val="0"/>
          <w:lang w:val="en-UK"/>
        </w:rPr>
      </w:pPr>
      <w:r>
        <w:rPr>
          <w:b w:val="0"/>
          <w:bCs w:val="0"/>
          <w:lang w:val="en-UK"/>
        </w:rPr>
        <w:t>Parking, deliveries and refuse collection will occur on Summer Street as existing.</w:t>
      </w:r>
    </w:p>
    <w:p>
      <w:pPr>
        <w:jc w:val="both"/>
        <w:rPr>
          <w:b w:val="0"/>
          <w:bCs w:val="0"/>
          <w:lang w:val="en-UK"/>
        </w:rPr>
      </w:pPr>
    </w:p>
    <w:p>
      <w:pPr>
        <w:jc w:val="both"/>
        <w:rPr>
          <w:b w:val="0"/>
          <w:bCs w:val="0"/>
          <w:lang w:val="en-UK"/>
        </w:rPr>
      </w:pPr>
      <w:r>
        <w:rPr>
          <w:b w:val="0"/>
          <w:bCs w:val="0"/>
          <w:lang w:val="en-UK"/>
        </w:rPr>
        <w:t>Euro bins will be sited in the yard area on the south east elevation of the building which will be available to all occupiers of the building. A collection agreement will be organised with a private waste disposal operator.</w:t>
      </w:r>
    </w:p>
    <w:sectPr>
      <w:pgSz w:w="11849" w:h="16781"/>
      <w:pgMar w:top="1440" w:right="1117" w:bottom="1440" w:left="1117" w:header="1446" w:footer="1446" w:gutter="0"/>
      <w:paperSrc w:first="0" w:other="0"/>
      <w:cols w:space="720" w:num="1"/>
      <w:docGrid w:linePitch="28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SimHei">
    <w:altName w:val="SimSun"/>
    <w:panose1 w:val="02010600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4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name="index 1"/>
    <w:lsdException w:unhideWhenUsed="0" w:uiPriority="0" w:name="index 2"/>
    <w:lsdException w:unhideWhenUsed="0" w:uiPriority="0" w:name="index 3"/>
    <w:lsdException w:unhideWhenUsed="0" w:uiPriority="0" w:name="index 4"/>
    <w:lsdException w:unhideWhenUsed="0" w:uiPriority="0" w:name="index 5"/>
    <w:lsdException w:unhideWhenUsed="0" w:uiPriority="0" w:name="index 6"/>
    <w:lsdException w:unhideWhenUsed="0" w:uiPriority="0" w:name="index 7"/>
    <w:lsdException w:unhideWhenUsed="0" w:uiPriority="0" w:name="index 8"/>
    <w:lsdException w:unhideWhenUsed="0" w:uiPriority="0" w:name="index 9"/>
    <w:lsdException w:unhideWhenUsed="0" w:uiPriority="0" w:name="toc 1"/>
    <w:lsdException w:unhideWhenUsed="0" w:uiPriority="0" w:name="toc 2"/>
    <w:lsdException w:unhideWhenUsed="0" w:uiPriority="0" w:name="toc 3"/>
    <w:lsdException w:unhideWhenUsed="0" w:uiPriority="0" w:name="toc 4"/>
    <w:lsdException w:unhideWhenUsed="0" w:uiPriority="0" w:name="toc 5"/>
    <w:lsdException w:unhideWhenUsed="0" w:uiPriority="0" w:name="toc 6"/>
    <w:lsdException w:unhideWhenUsed="0" w:uiPriority="0" w:name="toc 7"/>
    <w:lsdException w:unhideWhenUsed="0" w:uiPriority="0" w:name="toc 8"/>
    <w:lsdException w:unhideWhenUsed="0" w:uiPriority="0" w:name="toc 9"/>
    <w:lsdException w:unhideWhenUsed="0" w:uiPriority="0" w:semiHidden="0" w:name="Normal Indent"/>
    <w:lsdException w:unhideWhenUsed="0" w:uiPriority="0" w:name="footnote text"/>
    <w:lsdException w:unhideWhenUsed="0" w:uiPriority="0" w:name="annotation text"/>
    <w:lsdException w:unhideWhenUsed="0" w:uiPriority="0" w:semiHidden="0" w:name="header"/>
    <w:lsdException w:unhideWhenUsed="0" w:uiPriority="0" w:semiHidden="0" w:name="footer"/>
    <w:lsdException w:unhideWhenUsed="0" w:uiPriority="0" w:name="index heading"/>
    <w:lsdException w:unhideWhenUsed="0" w:uiPriority="0" w:name="caption"/>
    <w:lsdException w:unhideWhenUsed="0" w:uiPriority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name="footnote reference"/>
    <w:lsdException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name="endnote reference"/>
    <w:lsdException w:unhideWhenUsed="0" w:uiPriority="0" w:name="endnote text"/>
    <w:lsdException w:unhideWhenUsed="0" w:uiPriority="0" w:name="table of authorities"/>
    <w:lsdException w:unhideWhenUsed="0" w:uiPriority="0" w:name="macro"/>
    <w:lsdException w:unhideWhenUsed="0" w:uiPriority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annotation subject"/>
    <w:lsdException w:unhideWhenUsed="0" w:uiPriority="0" w:name="Balloon Text"/>
  </w:latentStyles>
  <w:style w:type="paragraph" w:default="1" w:styleId="1">
    <w:name w:val="Normal"/>
    <w:uiPriority w:val="0"/>
    <w:pPr>
      <w:widowControl w:val="0"/>
      <w:jc w:val="left"/>
    </w:pPr>
    <w:rPr>
      <w:rFonts w:ascii="Times New Roman" w:hAnsi="Times New Roman"/>
      <w:kern w:val="2"/>
      <w:sz w:val="24"/>
      <w:lang w:val="en-US" w:eastAsia="zh-CN"/>
    </w:rPr>
  </w:style>
  <w:style w:type="paragraph" w:styleId="2">
    <w:name w:val="heading 1"/>
    <w:basedOn w:val="1"/>
    <w:next w:val="1"/>
    <w:uiPriority w:val="0"/>
    <w:pPr>
      <w:keepNext/>
      <w:keepLines/>
      <w:spacing w:before="240" w:beforeAutospacing="0" w:after="60" w:afterAutospacing="0" w:line="240" w:lineRule="auto"/>
      <w:outlineLvl w:val="0"/>
    </w:pPr>
    <w:rPr>
      <w:rFonts w:ascii="Arial" w:hAnsi="Arial"/>
      <w:b/>
      <w:kern w:val="44"/>
      <w:sz w:val="32"/>
    </w:rPr>
  </w:style>
  <w:style w:type="paragraph" w:styleId="3">
    <w:name w:val="heading 2"/>
    <w:basedOn w:val="1"/>
    <w:next w:val="1"/>
    <w:uiPriority w:val="0"/>
    <w:pPr>
      <w:keepNext/>
      <w:keepLines/>
      <w:spacing w:before="240" w:beforeAutospacing="0" w:after="60" w:afterAutospacing="0" w:line="240" w:lineRule="auto"/>
      <w:outlineLvl w:val="1"/>
    </w:pPr>
    <w:rPr>
      <w:rFonts w:ascii="Arial" w:hAnsi="Arial"/>
      <w:b/>
      <w:i/>
      <w:sz w:val="28"/>
    </w:rPr>
  </w:style>
  <w:style w:type="paragraph" w:styleId="4">
    <w:name w:val="heading 3"/>
    <w:basedOn w:val="1"/>
    <w:next w:val="1"/>
    <w:uiPriority w:val="0"/>
    <w:pPr>
      <w:keepNext/>
      <w:keepLines/>
      <w:spacing w:before="240" w:beforeAutospacing="0" w:after="60" w:afterAutospacing="0" w:line="240" w:lineRule="auto"/>
      <w:outlineLvl w:val="2"/>
    </w:pPr>
    <w:rPr>
      <w:rFonts w:ascii="Arial" w:hAnsi="Arial"/>
      <w:b/>
      <w:sz w:val="26"/>
    </w:rPr>
  </w:style>
  <w:style w:type="paragraph" w:styleId="5">
    <w:name w:val="heading 4"/>
    <w:basedOn w:val="1"/>
    <w:next w:val="1"/>
    <w:uiPriority w:val="0"/>
    <w:pPr>
      <w:keepNext/>
      <w:keepLines/>
      <w:spacing w:before="240" w:beforeAutospacing="0" w:after="60" w:afterAutospacing="0" w:line="240" w:lineRule="auto"/>
      <w:outlineLvl w:val="3"/>
    </w:pPr>
    <w:rPr>
      <w:rFonts w:ascii="Times New Roman" w:hAnsi="Times New Roman"/>
      <w:b/>
      <w:sz w:val="28"/>
    </w:rPr>
  </w:style>
  <w:style w:type="paragraph" w:styleId="6">
    <w:name w:val="heading 5"/>
    <w:basedOn w:val="1"/>
    <w:next w:val="1"/>
    <w:uiPriority w:val="0"/>
    <w:pPr>
      <w:keepNext/>
      <w:keepLines/>
      <w:spacing w:before="240" w:beforeAutospacing="0" w:after="60" w:afterAutospacing="0" w:line="240" w:lineRule="auto"/>
      <w:outlineLvl w:val="4"/>
    </w:pPr>
    <w:rPr>
      <w:b/>
      <w:i/>
      <w:sz w:val="26"/>
    </w:rPr>
  </w:style>
  <w:style w:type="paragraph" w:styleId="7">
    <w:name w:val="heading 6"/>
    <w:basedOn w:val="1"/>
    <w:next w:val="1"/>
    <w:uiPriority w:val="0"/>
    <w:pPr>
      <w:keepNext/>
      <w:keepLines/>
      <w:spacing w:before="240" w:beforeAutospacing="0" w:after="60" w:afterAutospacing="0" w:line="240" w:lineRule="auto"/>
      <w:outlineLvl w:val="5"/>
    </w:pPr>
    <w:rPr>
      <w:rFonts w:ascii="Times New Roman" w:hAnsi="Times New Roman"/>
      <w:b/>
      <w:sz w:val="22"/>
    </w:rPr>
  </w:style>
  <w:style w:type="paragraph" w:styleId="8">
    <w:name w:val="heading 7"/>
    <w:basedOn w:val="1"/>
    <w:next w:val="1"/>
    <w:uiPriority w:val="0"/>
    <w:pPr>
      <w:keepNext/>
      <w:keepLines/>
      <w:spacing w:before="240" w:beforeAutospacing="0" w:after="60" w:afterAutospacing="0" w:line="240" w:lineRule="auto"/>
      <w:outlineLvl w:val="6"/>
    </w:pPr>
    <w:rPr>
      <w:sz w:val="24"/>
    </w:rPr>
  </w:style>
  <w:style w:type="paragraph" w:styleId="9">
    <w:name w:val="heading 8"/>
    <w:basedOn w:val="1"/>
    <w:next w:val="1"/>
    <w:uiPriority w:val="0"/>
    <w:pPr>
      <w:keepNext/>
      <w:keepLines/>
      <w:spacing w:before="240" w:beforeAutospacing="0" w:after="60" w:afterAutospacing="0" w:line="240" w:lineRule="auto"/>
      <w:outlineLvl w:val="7"/>
    </w:pPr>
    <w:rPr>
      <w:rFonts w:ascii="Times New Roman" w:hAnsi="Times New Roman"/>
      <w:i/>
      <w:sz w:val="24"/>
    </w:rPr>
  </w:style>
  <w:style w:type="paragraph" w:styleId="10">
    <w:name w:val="heading 9"/>
    <w:basedOn w:val="1"/>
    <w:next w:val="1"/>
    <w:uiPriority w:val="0"/>
    <w:pPr>
      <w:keepNext/>
      <w:keepLines/>
      <w:spacing w:before="240" w:beforeAutospacing="0" w:after="60" w:afterAutospacing="0" w:line="240" w:lineRule="auto"/>
      <w:outlineLvl w:val="8"/>
    </w:pPr>
    <w:rPr>
      <w:rFonts w:ascii="Arial" w:hAnsi="Arial"/>
      <w:sz w:val="22"/>
    </w:rPr>
  </w:style>
  <w:style w:type="character" w:default="1" w:styleId="13">
    <w:name w:val="Default Paragraph Font"/>
    <w:uiPriority w:val="0"/>
  </w:style>
  <w:style w:type="paragraph" w:styleId="11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Pages>1</Pages>
  <Words>0</Words>
  <Characters>0</Characters>
  <Lines>1</Lines>
  <Paragraphs>1</Paragraphs>
  <ScaleCrop>false</ScaleCrop>
  <LinksUpToDate>false</LinksUpToDate>
  <CharactersWithSpaces>0</CharactersWithSpaces>
  <Application>Kingsoft Office_9.1.0.4550_{F1E327BC-269C-435d-A152-05C5408002CA}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2010-05-06T13:11:00Z</dcterms:created>
  <dc:creator>Malcolm Percy</dc:creator>
  <cp:lastModifiedBy>Malcolm Percy</cp:lastModifiedBy>
  <cp:lastPrinted>1899-12-30T00:00:00Z</cp:lastPrinted>
  <dcterms:modified xsi:type="dcterms:W3CDTF">2024-08-01T11:08:04Z</dcterms:modified>
  <dc:title>Planning statement for the change of use of ground and first floors from mixed uses (residential, offices, gymnasium) into Class E (Commercial, business and service).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