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1724A4" w14:textId="1872B606" w:rsidR="00A80E1F" w:rsidRPr="004D1BA5" w:rsidRDefault="00A80E1F" w:rsidP="00A80E1F">
      <w:pPr>
        <w:jc w:val="center"/>
        <w:rPr>
          <w:rFonts w:asciiTheme="minorHAnsi" w:eastAsia="ArialMT" w:hAnsiTheme="minorHAnsi" w:cs="ArialMT"/>
          <w:b/>
          <w:bCs/>
          <w:color w:val="000000"/>
          <w:sz w:val="24"/>
          <w:szCs w:val="24"/>
        </w:rPr>
      </w:pPr>
      <w:r w:rsidRPr="00A80E1F">
        <w:rPr>
          <w:rFonts w:asciiTheme="minorHAnsi" w:eastAsia="ArialMT" w:hAnsiTheme="minorHAnsi" w:cs="ArialMT"/>
          <w:b/>
          <w:bCs/>
          <w:color w:val="000000"/>
          <w:sz w:val="24"/>
          <w:szCs w:val="24"/>
        </w:rPr>
        <w:t xml:space="preserve">Land off </w:t>
      </w:r>
      <w:r w:rsidR="004D1BA5" w:rsidRPr="004D1BA5">
        <w:rPr>
          <w:rFonts w:asciiTheme="minorHAnsi" w:eastAsia="ArialMT" w:hAnsiTheme="minorHAnsi" w:cs="ArialMT"/>
          <w:b/>
          <w:bCs/>
          <w:color w:val="000000"/>
          <w:sz w:val="24"/>
          <w:szCs w:val="24"/>
        </w:rPr>
        <w:t>Bury Old Road, Heywood</w:t>
      </w:r>
    </w:p>
    <w:p w14:paraId="2F0083FD" w14:textId="4935C993" w:rsidR="00A80E1F" w:rsidRPr="00A80E1F" w:rsidRDefault="00A80E1F" w:rsidP="00A80E1F">
      <w:pPr>
        <w:jc w:val="center"/>
        <w:rPr>
          <w:rFonts w:asciiTheme="minorHAnsi" w:hAnsiTheme="minorHAnsi"/>
          <w:color w:val="000000"/>
          <w:sz w:val="24"/>
          <w:szCs w:val="24"/>
        </w:rPr>
      </w:pPr>
      <w:r w:rsidRPr="00A80E1F">
        <w:rPr>
          <w:rFonts w:asciiTheme="minorHAnsi" w:eastAsia="ArialMT" w:hAnsiTheme="minorHAnsi" w:cs="ArialMT"/>
          <w:b/>
          <w:bCs/>
          <w:color w:val="000000"/>
          <w:sz w:val="24"/>
          <w:szCs w:val="24"/>
        </w:rPr>
        <w:t>Affordable Housing S</w:t>
      </w:r>
      <w:r w:rsidR="00735182">
        <w:rPr>
          <w:rFonts w:asciiTheme="minorHAnsi" w:eastAsia="ArialMT" w:hAnsiTheme="minorHAnsi" w:cs="ArialMT"/>
          <w:b/>
          <w:bCs/>
          <w:color w:val="000000"/>
          <w:sz w:val="24"/>
          <w:szCs w:val="24"/>
        </w:rPr>
        <w:t>tatement</w:t>
      </w:r>
      <w:r w:rsidRPr="00A80E1F">
        <w:rPr>
          <w:rFonts w:asciiTheme="minorHAnsi" w:eastAsia="ArialMT" w:hAnsiTheme="minorHAnsi" w:cs="ArialMT"/>
          <w:b/>
          <w:bCs/>
          <w:color w:val="000000"/>
          <w:sz w:val="24"/>
          <w:szCs w:val="24"/>
        </w:rPr>
        <w:t xml:space="preserve"> </w:t>
      </w:r>
    </w:p>
    <w:p w14:paraId="51C8827E" w14:textId="77777777" w:rsidR="00A80E1F" w:rsidRPr="00A80E1F" w:rsidRDefault="00A80E1F" w:rsidP="00A80E1F">
      <w:pPr>
        <w:rPr>
          <w:rFonts w:asciiTheme="minorHAnsi" w:hAnsiTheme="minorHAnsi"/>
        </w:rPr>
      </w:pPr>
    </w:p>
    <w:p w14:paraId="6031BF29" w14:textId="77777777" w:rsidR="00A80E1F" w:rsidRPr="00A80E1F" w:rsidRDefault="00A80E1F" w:rsidP="00A80E1F">
      <w:pPr>
        <w:rPr>
          <w:rFonts w:asciiTheme="minorHAnsi" w:hAnsiTheme="minorHAnsi"/>
          <w:color w:val="000000"/>
          <w:sz w:val="22"/>
          <w:szCs w:val="22"/>
        </w:rPr>
      </w:pPr>
    </w:p>
    <w:p w14:paraId="6F7F7A9B" w14:textId="40EB565F" w:rsidR="00A80E1F" w:rsidRPr="00735182" w:rsidRDefault="00B35662" w:rsidP="00735182">
      <w:pPr>
        <w:pStyle w:val="ListParagraph"/>
        <w:numPr>
          <w:ilvl w:val="0"/>
          <w:numId w:val="10"/>
        </w:numPr>
        <w:rPr>
          <w:rFonts w:asciiTheme="minorHAnsi" w:hAnsiTheme="minorHAnsi"/>
          <w:color w:val="000000"/>
          <w:sz w:val="22"/>
          <w:szCs w:val="22"/>
        </w:rPr>
      </w:pPr>
      <w:r>
        <w:rPr>
          <w:rFonts w:asciiTheme="minorHAnsi" w:hAnsiTheme="minorHAnsi"/>
          <w:color w:val="000000"/>
          <w:sz w:val="22"/>
          <w:szCs w:val="22"/>
        </w:rPr>
        <w:t>T</w:t>
      </w:r>
      <w:r w:rsidR="00A80E1F" w:rsidRPr="00735182">
        <w:rPr>
          <w:rFonts w:asciiTheme="minorHAnsi" w:hAnsiTheme="minorHAnsi"/>
          <w:color w:val="000000"/>
          <w:sz w:val="22"/>
          <w:szCs w:val="22"/>
        </w:rPr>
        <w:t xml:space="preserve">his Affordable Housing Statement is </w:t>
      </w:r>
      <w:r w:rsidR="004D1BA5">
        <w:rPr>
          <w:rFonts w:asciiTheme="minorHAnsi" w:hAnsiTheme="minorHAnsi"/>
          <w:color w:val="000000"/>
          <w:sz w:val="22"/>
          <w:szCs w:val="22"/>
        </w:rPr>
        <w:t xml:space="preserve">govern the use of the Units </w:t>
      </w:r>
      <w:r w:rsidR="00086C6D">
        <w:rPr>
          <w:rFonts w:asciiTheme="minorHAnsi" w:hAnsiTheme="minorHAnsi"/>
          <w:color w:val="000000"/>
          <w:sz w:val="22"/>
          <w:szCs w:val="22"/>
        </w:rPr>
        <w:t>to</w:t>
      </w:r>
      <w:r w:rsidR="004D1BA5">
        <w:rPr>
          <w:rFonts w:asciiTheme="minorHAnsi" w:hAnsiTheme="minorHAnsi"/>
          <w:color w:val="000000"/>
          <w:sz w:val="22"/>
          <w:szCs w:val="22"/>
        </w:rPr>
        <w:t xml:space="preserve"> be constructed at the development site at the </w:t>
      </w:r>
      <w:r w:rsidR="004D1BA5" w:rsidRPr="00735182">
        <w:rPr>
          <w:rFonts w:asciiTheme="minorHAnsi" w:hAnsiTheme="minorHAnsi"/>
          <w:color w:val="000000"/>
          <w:sz w:val="22"/>
          <w:szCs w:val="22"/>
        </w:rPr>
        <w:t xml:space="preserve">Land off </w:t>
      </w:r>
      <w:r w:rsidR="004D1BA5">
        <w:rPr>
          <w:rFonts w:asciiTheme="minorHAnsi" w:hAnsiTheme="minorHAnsi"/>
          <w:color w:val="000000"/>
          <w:sz w:val="22"/>
          <w:szCs w:val="22"/>
        </w:rPr>
        <w:t>Bury Old Road, Heywood</w:t>
      </w:r>
      <w:r w:rsidR="00086C6D">
        <w:rPr>
          <w:rFonts w:asciiTheme="minorHAnsi" w:hAnsiTheme="minorHAnsi"/>
          <w:color w:val="000000"/>
          <w:sz w:val="22"/>
          <w:szCs w:val="22"/>
        </w:rPr>
        <w:t xml:space="preserve"> </w:t>
      </w:r>
      <w:r w:rsidR="004D1BA5">
        <w:rPr>
          <w:rFonts w:asciiTheme="minorHAnsi" w:hAnsiTheme="minorHAnsi"/>
          <w:color w:val="000000"/>
          <w:sz w:val="22"/>
          <w:szCs w:val="22"/>
        </w:rPr>
        <w:t>pursuant to</w:t>
      </w:r>
      <w:r w:rsidR="00C90EFB">
        <w:rPr>
          <w:rFonts w:asciiTheme="minorHAnsi" w:hAnsiTheme="minorHAnsi"/>
          <w:color w:val="000000"/>
          <w:sz w:val="22"/>
          <w:szCs w:val="22"/>
        </w:rPr>
        <w:t xml:space="preserve"> </w:t>
      </w:r>
      <w:r w:rsidR="00C90EFB" w:rsidRPr="00735182">
        <w:rPr>
          <w:rFonts w:asciiTheme="minorHAnsi" w:hAnsiTheme="minorHAnsi"/>
          <w:color w:val="000000"/>
          <w:sz w:val="22"/>
          <w:szCs w:val="22"/>
        </w:rPr>
        <w:t>planning permissio</w:t>
      </w:r>
      <w:r w:rsidR="004D1BA5">
        <w:rPr>
          <w:rFonts w:asciiTheme="minorHAnsi" w:hAnsiTheme="minorHAnsi"/>
          <w:color w:val="000000"/>
          <w:sz w:val="22"/>
          <w:szCs w:val="22"/>
        </w:rPr>
        <w:t xml:space="preserve">n </w:t>
      </w:r>
      <w:r w:rsidR="004D1BA5" w:rsidRPr="004D1BA5">
        <w:rPr>
          <w:rFonts w:asciiTheme="minorHAnsi" w:hAnsiTheme="minorHAnsi"/>
          <w:color w:val="000000"/>
          <w:sz w:val="22"/>
          <w:szCs w:val="22"/>
        </w:rPr>
        <w:t>24</w:t>
      </w:r>
      <w:r w:rsidR="004D1BA5">
        <w:rPr>
          <w:rFonts w:asciiTheme="minorHAnsi" w:hAnsiTheme="minorHAnsi"/>
          <w:color w:val="000000"/>
          <w:sz w:val="22"/>
          <w:szCs w:val="22"/>
        </w:rPr>
        <w:t>/</w:t>
      </w:r>
      <w:r w:rsidR="004D1BA5" w:rsidRPr="004D1BA5">
        <w:rPr>
          <w:rFonts w:asciiTheme="minorHAnsi" w:hAnsiTheme="minorHAnsi"/>
          <w:color w:val="000000"/>
          <w:sz w:val="22"/>
          <w:szCs w:val="22"/>
        </w:rPr>
        <w:t>00622</w:t>
      </w:r>
      <w:r w:rsidR="004D1BA5">
        <w:rPr>
          <w:rFonts w:asciiTheme="minorHAnsi" w:hAnsiTheme="minorHAnsi"/>
          <w:color w:val="000000"/>
          <w:sz w:val="22"/>
          <w:szCs w:val="22"/>
        </w:rPr>
        <w:t>/</w:t>
      </w:r>
      <w:r w:rsidR="004D1BA5" w:rsidRPr="004D1BA5">
        <w:rPr>
          <w:rFonts w:asciiTheme="minorHAnsi" w:hAnsiTheme="minorHAnsi"/>
          <w:color w:val="000000"/>
          <w:sz w:val="22"/>
          <w:szCs w:val="22"/>
        </w:rPr>
        <w:t>FUL</w:t>
      </w:r>
      <w:r w:rsidR="00B80D9B" w:rsidRPr="00735182">
        <w:rPr>
          <w:rFonts w:asciiTheme="minorHAnsi" w:hAnsiTheme="minorHAnsi"/>
          <w:color w:val="000000"/>
          <w:sz w:val="22"/>
          <w:szCs w:val="22"/>
        </w:rPr>
        <w:t>.</w:t>
      </w:r>
    </w:p>
    <w:p w14:paraId="088F9009" w14:textId="77777777" w:rsidR="00A80E1F" w:rsidRPr="00A80E1F" w:rsidRDefault="00A80E1F" w:rsidP="00A80E1F">
      <w:pPr>
        <w:rPr>
          <w:rFonts w:asciiTheme="minorHAnsi" w:hAnsiTheme="minorHAnsi"/>
          <w:color w:val="000000"/>
          <w:sz w:val="22"/>
          <w:szCs w:val="22"/>
        </w:rPr>
      </w:pPr>
    </w:p>
    <w:p w14:paraId="06956956" w14:textId="5B85161F" w:rsidR="00A80E1F" w:rsidRPr="00735182" w:rsidRDefault="00A80E1F" w:rsidP="00735182">
      <w:pPr>
        <w:pStyle w:val="ListParagraph"/>
        <w:numPr>
          <w:ilvl w:val="0"/>
          <w:numId w:val="10"/>
        </w:numPr>
        <w:rPr>
          <w:rFonts w:asciiTheme="minorHAnsi" w:hAnsiTheme="minorHAnsi"/>
          <w:b/>
          <w:bCs/>
          <w:color w:val="000000"/>
          <w:sz w:val="22"/>
          <w:szCs w:val="22"/>
          <w:u w:val="single"/>
        </w:rPr>
      </w:pPr>
      <w:r w:rsidRPr="00735182">
        <w:rPr>
          <w:rFonts w:asciiTheme="minorHAnsi" w:hAnsiTheme="minorHAnsi"/>
          <w:b/>
          <w:bCs/>
          <w:color w:val="000000"/>
          <w:sz w:val="22"/>
          <w:szCs w:val="22"/>
          <w:u w:val="single"/>
        </w:rPr>
        <w:t>Definitions:</w:t>
      </w:r>
    </w:p>
    <w:p w14:paraId="4B004946" w14:textId="0ECB8B95" w:rsidR="00735182" w:rsidRDefault="00735182" w:rsidP="000B552E">
      <w:pPr>
        <w:ind w:left="720"/>
        <w:rPr>
          <w:rFonts w:asciiTheme="minorHAnsi" w:hAnsiTheme="minorHAnsi"/>
          <w:b/>
          <w:bCs/>
          <w:color w:val="000000"/>
          <w:sz w:val="22"/>
          <w:szCs w:val="22"/>
        </w:rPr>
      </w:pPr>
      <w:r>
        <w:rPr>
          <w:rFonts w:asciiTheme="minorHAnsi" w:hAnsiTheme="minorHAnsi"/>
          <w:b/>
          <w:bCs/>
          <w:color w:val="000000"/>
          <w:sz w:val="22"/>
          <w:szCs w:val="22"/>
        </w:rPr>
        <w:t xml:space="preserve">Affordable Housing: </w:t>
      </w:r>
      <w:r w:rsidR="004D1BA5" w:rsidRPr="004D1BA5">
        <w:rPr>
          <w:rFonts w:asciiTheme="minorHAnsi" w:hAnsiTheme="minorHAnsi"/>
          <w:color w:val="000000"/>
          <w:sz w:val="22"/>
          <w:szCs w:val="22"/>
        </w:rPr>
        <w:t>means the use of the Units as affordable housing as defined in the National Planning Policy Framework 2024 at Annex 2 or such other replacement framework.</w:t>
      </w:r>
    </w:p>
    <w:p w14:paraId="7AA568B5" w14:textId="77777777" w:rsidR="00735182" w:rsidRDefault="00735182" w:rsidP="00A80E1F">
      <w:pPr>
        <w:rPr>
          <w:rFonts w:asciiTheme="minorHAnsi" w:hAnsiTheme="minorHAnsi"/>
          <w:b/>
          <w:bCs/>
          <w:color w:val="000000"/>
          <w:sz w:val="22"/>
          <w:szCs w:val="22"/>
        </w:rPr>
      </w:pPr>
    </w:p>
    <w:p w14:paraId="1249DF79" w14:textId="3697FA00" w:rsidR="00A80E1F" w:rsidRPr="00A80E1F" w:rsidRDefault="00A80E1F" w:rsidP="00735182">
      <w:pPr>
        <w:ind w:left="720"/>
        <w:rPr>
          <w:rFonts w:asciiTheme="minorHAnsi" w:hAnsiTheme="minorHAnsi"/>
          <w:color w:val="000000"/>
          <w:sz w:val="22"/>
          <w:szCs w:val="22"/>
        </w:rPr>
      </w:pPr>
      <w:r w:rsidRPr="00A80E1F">
        <w:rPr>
          <w:rFonts w:asciiTheme="minorHAnsi" w:hAnsiTheme="minorHAnsi"/>
          <w:b/>
          <w:bCs/>
          <w:color w:val="000000"/>
          <w:sz w:val="22"/>
          <w:szCs w:val="22"/>
        </w:rPr>
        <w:t>Affordable Rent:</w:t>
      </w:r>
      <w:r w:rsidRPr="00A80E1F">
        <w:rPr>
          <w:rFonts w:asciiTheme="minorHAnsi" w:hAnsiTheme="minorHAnsi"/>
          <w:color w:val="000000"/>
          <w:sz w:val="22"/>
          <w:szCs w:val="22"/>
        </w:rPr>
        <w:t xml:space="preserve"> means a rent of no more than 80% of local market rent (including service charges, where applicable) or at rental levels that accord with any measure of rental affordability published from time to time by HM Government or Homes England (or any successor body responsible for affordable housing) or the Regulator of Social Housing</w:t>
      </w:r>
      <w:r w:rsidR="00735182">
        <w:rPr>
          <w:rFonts w:asciiTheme="minorHAnsi" w:hAnsiTheme="minorHAnsi"/>
          <w:color w:val="000000"/>
          <w:sz w:val="22"/>
          <w:szCs w:val="22"/>
        </w:rPr>
        <w:t>.</w:t>
      </w:r>
    </w:p>
    <w:p w14:paraId="370EE565" w14:textId="77777777" w:rsidR="00A80E1F" w:rsidRPr="00A80E1F" w:rsidRDefault="00A80E1F" w:rsidP="00A80E1F">
      <w:pPr>
        <w:rPr>
          <w:rFonts w:asciiTheme="minorHAnsi" w:hAnsiTheme="minorHAnsi"/>
          <w:color w:val="000000"/>
          <w:sz w:val="22"/>
          <w:szCs w:val="22"/>
        </w:rPr>
      </w:pPr>
    </w:p>
    <w:p w14:paraId="5183359F" w14:textId="77777777" w:rsidR="00A80E1F" w:rsidRDefault="00A80E1F" w:rsidP="00735182">
      <w:pPr>
        <w:ind w:left="720"/>
        <w:rPr>
          <w:rFonts w:asciiTheme="minorHAnsi" w:hAnsiTheme="minorHAnsi"/>
          <w:color w:val="000000"/>
          <w:sz w:val="22"/>
          <w:szCs w:val="22"/>
        </w:rPr>
      </w:pPr>
      <w:r w:rsidRPr="00A80E1F">
        <w:rPr>
          <w:rFonts w:asciiTheme="minorHAnsi" w:hAnsiTheme="minorHAnsi"/>
          <w:b/>
          <w:bCs/>
          <w:color w:val="000000"/>
          <w:sz w:val="22"/>
          <w:szCs w:val="22"/>
        </w:rPr>
        <w:t>Shared Ownership:</w:t>
      </w:r>
      <w:r w:rsidRPr="00A80E1F">
        <w:rPr>
          <w:rFonts w:asciiTheme="minorHAnsi" w:hAnsiTheme="minorHAnsi"/>
          <w:color w:val="000000"/>
          <w:sz w:val="22"/>
          <w:szCs w:val="22"/>
        </w:rPr>
        <w:t xml:space="preserve"> means the purchase on a shared equity basis whereby not more than 75% and not less than 10% of the equity is initially sold to the purchaser with the flexibility to increase their degree of Ownership to 100% if they so wish.</w:t>
      </w:r>
    </w:p>
    <w:p w14:paraId="72DB350D" w14:textId="77777777" w:rsidR="00735182" w:rsidRDefault="00735182" w:rsidP="004D1BA5">
      <w:pPr>
        <w:rPr>
          <w:rFonts w:asciiTheme="minorHAnsi" w:hAnsiTheme="minorHAnsi"/>
          <w:color w:val="000000"/>
          <w:sz w:val="22"/>
          <w:szCs w:val="22"/>
        </w:rPr>
      </w:pPr>
    </w:p>
    <w:p w14:paraId="600A94FB" w14:textId="7FCC870C" w:rsidR="00735182" w:rsidRPr="00735182" w:rsidRDefault="00735182" w:rsidP="00735182">
      <w:pPr>
        <w:ind w:left="720"/>
        <w:rPr>
          <w:rFonts w:asciiTheme="minorHAnsi" w:hAnsiTheme="minorHAnsi"/>
          <w:color w:val="000000"/>
          <w:sz w:val="22"/>
          <w:szCs w:val="22"/>
        </w:rPr>
      </w:pPr>
      <w:r w:rsidRPr="00735182">
        <w:rPr>
          <w:rFonts w:asciiTheme="minorHAnsi" w:hAnsiTheme="minorHAnsi"/>
          <w:b/>
          <w:bCs/>
          <w:color w:val="000000"/>
          <w:sz w:val="22"/>
          <w:szCs w:val="22"/>
        </w:rPr>
        <w:t>Units:</w:t>
      </w:r>
      <w:r>
        <w:rPr>
          <w:rFonts w:asciiTheme="minorHAnsi" w:hAnsiTheme="minorHAnsi"/>
          <w:color w:val="000000"/>
          <w:sz w:val="22"/>
          <w:szCs w:val="22"/>
        </w:rPr>
        <w:t xml:space="preserve"> means the units constructed at </w:t>
      </w:r>
      <w:r w:rsidRPr="00735182">
        <w:rPr>
          <w:rFonts w:asciiTheme="minorHAnsi" w:hAnsiTheme="minorHAnsi"/>
          <w:color w:val="000000"/>
          <w:sz w:val="22"/>
          <w:szCs w:val="22"/>
        </w:rPr>
        <w:t xml:space="preserve">Land off </w:t>
      </w:r>
      <w:r w:rsidR="004D1BA5">
        <w:rPr>
          <w:rFonts w:asciiTheme="minorHAnsi" w:hAnsiTheme="minorHAnsi"/>
          <w:color w:val="000000"/>
          <w:sz w:val="22"/>
          <w:szCs w:val="22"/>
        </w:rPr>
        <w:t>Bury Old Road, Heywood</w:t>
      </w:r>
      <w:r w:rsidRPr="00735182">
        <w:rPr>
          <w:rFonts w:asciiTheme="minorHAnsi" w:hAnsiTheme="minorHAnsi"/>
          <w:color w:val="000000"/>
          <w:sz w:val="22"/>
          <w:szCs w:val="22"/>
        </w:rPr>
        <w:t xml:space="preserve"> pursuant to planning permission </w:t>
      </w:r>
      <w:r w:rsidR="004D1BA5" w:rsidRPr="004D1BA5">
        <w:rPr>
          <w:rFonts w:asciiTheme="minorHAnsi" w:hAnsiTheme="minorHAnsi"/>
          <w:color w:val="000000"/>
          <w:sz w:val="22"/>
          <w:szCs w:val="22"/>
        </w:rPr>
        <w:t>24</w:t>
      </w:r>
      <w:r w:rsidR="004D1BA5">
        <w:rPr>
          <w:rFonts w:asciiTheme="minorHAnsi" w:hAnsiTheme="minorHAnsi"/>
          <w:color w:val="000000"/>
          <w:sz w:val="22"/>
          <w:szCs w:val="22"/>
        </w:rPr>
        <w:t>/</w:t>
      </w:r>
      <w:r w:rsidR="004D1BA5" w:rsidRPr="004D1BA5">
        <w:rPr>
          <w:rFonts w:asciiTheme="minorHAnsi" w:hAnsiTheme="minorHAnsi"/>
          <w:color w:val="000000"/>
          <w:sz w:val="22"/>
          <w:szCs w:val="22"/>
        </w:rPr>
        <w:t>00622</w:t>
      </w:r>
      <w:r w:rsidR="004D1BA5">
        <w:rPr>
          <w:rFonts w:asciiTheme="minorHAnsi" w:hAnsiTheme="minorHAnsi"/>
          <w:color w:val="000000"/>
          <w:sz w:val="22"/>
          <w:szCs w:val="22"/>
        </w:rPr>
        <w:t>/</w:t>
      </w:r>
      <w:r w:rsidR="004D1BA5" w:rsidRPr="004D1BA5">
        <w:rPr>
          <w:rFonts w:asciiTheme="minorHAnsi" w:hAnsiTheme="minorHAnsi"/>
          <w:color w:val="000000"/>
          <w:sz w:val="22"/>
          <w:szCs w:val="22"/>
        </w:rPr>
        <w:t>FUL</w:t>
      </w:r>
      <w:r>
        <w:rPr>
          <w:rFonts w:asciiTheme="minorHAnsi" w:hAnsiTheme="minorHAnsi"/>
          <w:color w:val="000000"/>
          <w:sz w:val="22"/>
          <w:szCs w:val="22"/>
        </w:rPr>
        <w:t xml:space="preserve"> </w:t>
      </w:r>
      <w:r w:rsidR="004D1BA5">
        <w:rPr>
          <w:rFonts w:asciiTheme="minorHAnsi" w:hAnsiTheme="minorHAnsi"/>
          <w:color w:val="000000"/>
          <w:sz w:val="22"/>
          <w:szCs w:val="22"/>
        </w:rPr>
        <w:t xml:space="preserve">(or </w:t>
      </w:r>
      <w:r>
        <w:rPr>
          <w:rFonts w:asciiTheme="minorHAnsi" w:hAnsiTheme="minorHAnsi"/>
          <w:color w:val="000000"/>
          <w:sz w:val="22"/>
          <w:szCs w:val="22"/>
        </w:rPr>
        <w:t xml:space="preserve">as </w:t>
      </w:r>
      <w:r w:rsidR="004D1BA5">
        <w:rPr>
          <w:rFonts w:asciiTheme="minorHAnsi" w:hAnsiTheme="minorHAnsi"/>
          <w:color w:val="000000"/>
          <w:sz w:val="22"/>
          <w:szCs w:val="22"/>
        </w:rPr>
        <w:t xml:space="preserve">subsequently </w:t>
      </w:r>
      <w:r>
        <w:rPr>
          <w:rFonts w:asciiTheme="minorHAnsi" w:hAnsiTheme="minorHAnsi"/>
          <w:color w:val="000000"/>
          <w:sz w:val="22"/>
          <w:szCs w:val="22"/>
        </w:rPr>
        <w:t>varied</w:t>
      </w:r>
      <w:r w:rsidR="004D1BA5">
        <w:rPr>
          <w:rFonts w:asciiTheme="minorHAnsi" w:hAnsiTheme="minorHAnsi"/>
          <w:color w:val="000000"/>
          <w:sz w:val="22"/>
          <w:szCs w:val="22"/>
        </w:rPr>
        <w:t xml:space="preserve"> or amended)</w:t>
      </w:r>
      <w:r>
        <w:rPr>
          <w:rFonts w:asciiTheme="minorHAnsi" w:hAnsiTheme="minorHAnsi"/>
          <w:color w:val="000000"/>
          <w:sz w:val="22"/>
          <w:szCs w:val="22"/>
        </w:rPr>
        <w:t>.</w:t>
      </w:r>
    </w:p>
    <w:p w14:paraId="549D60D9" w14:textId="77777777" w:rsidR="00A80E1F" w:rsidRPr="00A80E1F" w:rsidRDefault="00A80E1F" w:rsidP="00A80E1F">
      <w:pPr>
        <w:rPr>
          <w:rFonts w:asciiTheme="minorHAnsi" w:hAnsiTheme="minorHAnsi"/>
          <w:color w:val="000000"/>
          <w:sz w:val="22"/>
          <w:szCs w:val="22"/>
        </w:rPr>
      </w:pPr>
    </w:p>
    <w:p w14:paraId="4FCFDF5A" w14:textId="25245AA2" w:rsidR="00735182" w:rsidRDefault="00A80E1F" w:rsidP="00735182">
      <w:pPr>
        <w:pStyle w:val="ListParagraph"/>
        <w:numPr>
          <w:ilvl w:val="0"/>
          <w:numId w:val="10"/>
        </w:numPr>
        <w:rPr>
          <w:rFonts w:asciiTheme="minorHAnsi" w:hAnsiTheme="minorHAnsi"/>
          <w:color w:val="000000"/>
          <w:sz w:val="22"/>
          <w:szCs w:val="22"/>
        </w:rPr>
      </w:pPr>
      <w:r w:rsidRPr="00735182">
        <w:rPr>
          <w:rFonts w:asciiTheme="minorHAnsi" w:hAnsiTheme="minorHAnsi"/>
          <w:color w:val="000000"/>
          <w:sz w:val="22"/>
          <w:szCs w:val="22"/>
        </w:rPr>
        <w:t xml:space="preserve">The </w:t>
      </w:r>
      <w:r w:rsidR="00735182">
        <w:rPr>
          <w:rFonts w:asciiTheme="minorHAnsi" w:hAnsiTheme="minorHAnsi"/>
          <w:color w:val="000000"/>
          <w:sz w:val="22"/>
          <w:szCs w:val="22"/>
        </w:rPr>
        <w:t>Units</w:t>
      </w:r>
      <w:r w:rsidRPr="00735182">
        <w:rPr>
          <w:rFonts w:asciiTheme="minorHAnsi" w:hAnsiTheme="minorHAnsi"/>
          <w:color w:val="000000"/>
          <w:sz w:val="22"/>
          <w:szCs w:val="22"/>
        </w:rPr>
        <w:t xml:space="preserve"> will be owned and managed by First Choice Homes Oldham Limited (“FCHO”)</w:t>
      </w:r>
      <w:r w:rsidR="00735182">
        <w:rPr>
          <w:rFonts w:asciiTheme="minorHAnsi" w:hAnsiTheme="minorHAnsi"/>
          <w:color w:val="000000"/>
          <w:sz w:val="22"/>
          <w:szCs w:val="22"/>
        </w:rPr>
        <w:t xml:space="preserve"> and s</w:t>
      </w:r>
      <w:r w:rsidR="00735182" w:rsidRPr="00735182">
        <w:rPr>
          <w:rFonts w:asciiTheme="minorHAnsi" w:hAnsiTheme="minorHAnsi"/>
          <w:color w:val="000000"/>
          <w:sz w:val="22"/>
          <w:szCs w:val="22"/>
        </w:rPr>
        <w:t xml:space="preserve">ubject to paragraph </w:t>
      </w:r>
      <w:r w:rsidR="004D1BA5">
        <w:rPr>
          <w:rFonts w:asciiTheme="minorHAnsi" w:hAnsiTheme="minorHAnsi"/>
          <w:color w:val="000000"/>
          <w:sz w:val="22"/>
          <w:szCs w:val="22"/>
        </w:rPr>
        <w:t>5</w:t>
      </w:r>
      <w:r w:rsidR="00735182" w:rsidRPr="00735182">
        <w:rPr>
          <w:rFonts w:asciiTheme="minorHAnsi" w:hAnsiTheme="minorHAnsi"/>
          <w:color w:val="000000"/>
          <w:sz w:val="22"/>
          <w:szCs w:val="22"/>
        </w:rPr>
        <w:t xml:space="preserve"> below, </w:t>
      </w:r>
      <w:r w:rsidRPr="00735182">
        <w:rPr>
          <w:rFonts w:asciiTheme="minorHAnsi" w:hAnsiTheme="minorHAnsi"/>
          <w:color w:val="000000"/>
          <w:sz w:val="22"/>
          <w:szCs w:val="22"/>
        </w:rPr>
        <w:t xml:space="preserve">FCHO will ensure the </w:t>
      </w:r>
      <w:r w:rsidR="00735182">
        <w:rPr>
          <w:rFonts w:asciiTheme="minorHAnsi" w:hAnsiTheme="minorHAnsi"/>
          <w:color w:val="000000"/>
          <w:sz w:val="22"/>
          <w:szCs w:val="22"/>
        </w:rPr>
        <w:t>U</w:t>
      </w:r>
      <w:r w:rsidRPr="00735182">
        <w:rPr>
          <w:rFonts w:asciiTheme="minorHAnsi" w:hAnsiTheme="minorHAnsi"/>
          <w:color w:val="000000"/>
          <w:sz w:val="22"/>
          <w:szCs w:val="22"/>
        </w:rPr>
        <w:t xml:space="preserve">nits will be used </w:t>
      </w:r>
      <w:r w:rsidR="00735182" w:rsidRPr="00735182">
        <w:rPr>
          <w:rFonts w:asciiTheme="minorHAnsi" w:hAnsiTheme="minorHAnsi"/>
          <w:color w:val="000000"/>
          <w:sz w:val="22"/>
          <w:szCs w:val="22"/>
        </w:rPr>
        <w:t>as Affordable Housing</w:t>
      </w:r>
      <w:r w:rsidR="00735182">
        <w:rPr>
          <w:rFonts w:asciiTheme="minorHAnsi" w:hAnsiTheme="minorHAnsi"/>
          <w:color w:val="000000"/>
          <w:sz w:val="22"/>
          <w:szCs w:val="22"/>
        </w:rPr>
        <w:t>.</w:t>
      </w:r>
    </w:p>
    <w:p w14:paraId="64B1034A" w14:textId="77777777" w:rsidR="00735182" w:rsidRDefault="00735182" w:rsidP="00735182">
      <w:pPr>
        <w:pStyle w:val="ListParagraph"/>
        <w:rPr>
          <w:rFonts w:asciiTheme="minorHAnsi" w:hAnsiTheme="minorHAnsi"/>
          <w:color w:val="000000"/>
          <w:sz w:val="22"/>
          <w:szCs w:val="22"/>
        </w:rPr>
      </w:pPr>
    </w:p>
    <w:p w14:paraId="7C25DDC2" w14:textId="5854CB11" w:rsidR="00735182" w:rsidRDefault="00735182" w:rsidP="00735182">
      <w:pPr>
        <w:pStyle w:val="ListParagraph"/>
        <w:numPr>
          <w:ilvl w:val="0"/>
          <w:numId w:val="10"/>
        </w:numPr>
        <w:rPr>
          <w:rFonts w:asciiTheme="minorHAnsi" w:hAnsiTheme="minorHAnsi"/>
          <w:color w:val="000000"/>
          <w:sz w:val="22"/>
          <w:szCs w:val="22"/>
        </w:rPr>
      </w:pPr>
      <w:r>
        <w:rPr>
          <w:rFonts w:asciiTheme="minorHAnsi" w:hAnsiTheme="minorHAnsi"/>
          <w:color w:val="000000"/>
          <w:sz w:val="22"/>
          <w:szCs w:val="22"/>
        </w:rPr>
        <w:t xml:space="preserve">Nothing in this Affordable Housing Statement shall prevent FCHO from altering the tenure (including by not limited to </w:t>
      </w:r>
      <w:r w:rsidRPr="00A80E1F">
        <w:rPr>
          <w:rFonts w:asciiTheme="minorHAnsi" w:hAnsiTheme="minorHAnsi"/>
          <w:color w:val="000000"/>
          <w:sz w:val="22"/>
          <w:szCs w:val="22"/>
        </w:rPr>
        <w:t>Affordable Rent to Shared Ownership in the event an occupier of an Affordable Rent unit exercises a right to shared ownership pursuant to the requirements of Capital Funding Guide</w:t>
      </w:r>
      <w:r>
        <w:rPr>
          <w:rFonts w:asciiTheme="minorHAnsi" w:hAnsiTheme="minorHAnsi"/>
          <w:color w:val="000000"/>
          <w:sz w:val="22"/>
          <w:szCs w:val="22"/>
        </w:rPr>
        <w:t xml:space="preserve"> PROVIDED THAT the Units are used as Affordable Housing, subject to the provisions of paragraph </w:t>
      </w:r>
      <w:r w:rsidR="004D1BA5">
        <w:rPr>
          <w:rFonts w:asciiTheme="minorHAnsi" w:hAnsiTheme="minorHAnsi"/>
          <w:color w:val="000000"/>
          <w:sz w:val="22"/>
          <w:szCs w:val="22"/>
        </w:rPr>
        <w:t>5</w:t>
      </w:r>
      <w:r>
        <w:rPr>
          <w:rFonts w:asciiTheme="minorHAnsi" w:hAnsiTheme="minorHAnsi"/>
          <w:color w:val="000000"/>
          <w:sz w:val="22"/>
          <w:szCs w:val="22"/>
        </w:rPr>
        <w:t xml:space="preserve"> below.</w:t>
      </w:r>
    </w:p>
    <w:p w14:paraId="4BC5C74F" w14:textId="77777777" w:rsidR="00A80E1F" w:rsidRPr="00735182" w:rsidRDefault="00A80E1F" w:rsidP="00735182">
      <w:pPr>
        <w:rPr>
          <w:rFonts w:asciiTheme="minorHAnsi" w:hAnsiTheme="minorHAnsi"/>
          <w:color w:val="000000"/>
          <w:sz w:val="22"/>
          <w:szCs w:val="22"/>
        </w:rPr>
      </w:pPr>
    </w:p>
    <w:p w14:paraId="33C9F1CA" w14:textId="5896451A" w:rsidR="00A80E1F" w:rsidRPr="00735182" w:rsidRDefault="00A80E1F" w:rsidP="00735182">
      <w:pPr>
        <w:pStyle w:val="ListParagraph"/>
        <w:numPr>
          <w:ilvl w:val="0"/>
          <w:numId w:val="10"/>
        </w:numPr>
        <w:rPr>
          <w:rFonts w:asciiTheme="minorHAnsi" w:hAnsiTheme="minorHAnsi"/>
          <w:color w:val="000000"/>
          <w:sz w:val="22"/>
          <w:szCs w:val="22"/>
        </w:rPr>
      </w:pPr>
      <w:r w:rsidRPr="00735182">
        <w:rPr>
          <w:rFonts w:asciiTheme="minorHAnsi" w:hAnsiTheme="minorHAnsi"/>
          <w:color w:val="000000"/>
          <w:sz w:val="22"/>
          <w:szCs w:val="22"/>
        </w:rPr>
        <w:t>This Affordable Housing Statement shall not be binding or enforceable against:</w:t>
      </w:r>
    </w:p>
    <w:p w14:paraId="42242A2A" w14:textId="4AF7AB14" w:rsidR="00A80E1F" w:rsidRDefault="00A80E1F" w:rsidP="00A80E1F">
      <w:pPr>
        <w:pStyle w:val="ListParagraph"/>
        <w:numPr>
          <w:ilvl w:val="0"/>
          <w:numId w:val="9"/>
        </w:numPr>
        <w:rPr>
          <w:rFonts w:asciiTheme="minorHAnsi" w:hAnsiTheme="minorHAnsi"/>
          <w:color w:val="000000"/>
          <w:sz w:val="22"/>
          <w:szCs w:val="22"/>
        </w:rPr>
      </w:pPr>
      <w:r w:rsidRPr="00A80E1F">
        <w:rPr>
          <w:rFonts w:asciiTheme="minorHAnsi" w:hAnsiTheme="minorHAnsi"/>
          <w:color w:val="000000"/>
          <w:sz w:val="22"/>
          <w:szCs w:val="22"/>
        </w:rPr>
        <w:t>a mortgagee or charge (or any receiver, including an administrative receiver) or manager appointed by such mortgagee or charge or any person appointed under any security documentation to enable such mortgagee or charge to realise its security or any administrator (howsoever appointed) including a housing administrator (each a “</w:t>
      </w:r>
      <w:r w:rsidRPr="00A80E1F">
        <w:rPr>
          <w:rFonts w:asciiTheme="minorHAnsi" w:hAnsiTheme="minorHAnsi"/>
          <w:b/>
          <w:bCs/>
          <w:color w:val="000000"/>
          <w:sz w:val="22"/>
          <w:szCs w:val="22"/>
        </w:rPr>
        <w:t>Receiver”</w:t>
      </w:r>
      <w:r w:rsidRPr="00A80E1F">
        <w:rPr>
          <w:rFonts w:asciiTheme="minorHAnsi" w:hAnsiTheme="minorHAnsi"/>
          <w:color w:val="000000"/>
          <w:sz w:val="22"/>
          <w:szCs w:val="22"/>
        </w:rPr>
        <w:t>) of the whole or any part of the Affordable Housing Units (the “</w:t>
      </w:r>
      <w:r w:rsidRPr="00A80E1F">
        <w:rPr>
          <w:rFonts w:asciiTheme="minorHAnsi" w:hAnsiTheme="minorHAnsi"/>
          <w:b/>
          <w:bCs/>
          <w:color w:val="000000"/>
          <w:sz w:val="22"/>
          <w:szCs w:val="22"/>
        </w:rPr>
        <w:t>Mortgagee</w:t>
      </w:r>
      <w:r w:rsidRPr="00A80E1F">
        <w:rPr>
          <w:rFonts w:asciiTheme="minorHAnsi" w:hAnsiTheme="minorHAnsi"/>
          <w:color w:val="000000"/>
          <w:sz w:val="22"/>
          <w:szCs w:val="22"/>
        </w:rPr>
        <w:t>”) whether or not the Mortgagee has gone into possession of a property</w:t>
      </w:r>
      <w:r>
        <w:rPr>
          <w:rFonts w:asciiTheme="minorHAnsi" w:hAnsiTheme="minorHAnsi"/>
          <w:color w:val="000000"/>
          <w:sz w:val="22"/>
          <w:szCs w:val="22"/>
        </w:rPr>
        <w:t>;</w:t>
      </w:r>
    </w:p>
    <w:p w14:paraId="3E0D3569" w14:textId="59F7778B" w:rsidR="00A80E1F" w:rsidRPr="00A80E1F" w:rsidRDefault="00A80E1F" w:rsidP="00A80E1F">
      <w:pPr>
        <w:pStyle w:val="ListParagraph"/>
        <w:numPr>
          <w:ilvl w:val="0"/>
          <w:numId w:val="9"/>
        </w:numPr>
        <w:rPr>
          <w:rFonts w:asciiTheme="minorHAnsi" w:hAnsiTheme="minorHAnsi"/>
          <w:color w:val="000000"/>
          <w:sz w:val="22"/>
          <w:szCs w:val="22"/>
        </w:rPr>
      </w:pPr>
      <w:r w:rsidRPr="00A80E1F">
        <w:rPr>
          <w:rFonts w:asciiTheme="minorHAnsi" w:hAnsiTheme="minorHAnsi"/>
          <w:color w:val="000000"/>
          <w:sz w:val="22"/>
          <w:szCs w:val="22"/>
        </w:rPr>
        <w:t xml:space="preserve">a tenant who has exercised a statutory right to acquire or right to buy by way of a purchase grant or like scheme or any mortgagee or </w:t>
      </w:r>
      <w:proofErr w:type="spellStart"/>
      <w:r w:rsidRPr="00A80E1F">
        <w:rPr>
          <w:rFonts w:asciiTheme="minorHAnsi" w:hAnsiTheme="minorHAnsi"/>
          <w:color w:val="000000"/>
          <w:sz w:val="22"/>
          <w:szCs w:val="22"/>
        </w:rPr>
        <w:t>chargee</w:t>
      </w:r>
      <w:proofErr w:type="spellEnd"/>
      <w:r w:rsidRPr="00A80E1F">
        <w:rPr>
          <w:rFonts w:asciiTheme="minorHAnsi" w:hAnsiTheme="minorHAnsi"/>
          <w:color w:val="000000"/>
          <w:sz w:val="22"/>
          <w:szCs w:val="22"/>
        </w:rPr>
        <w:t xml:space="preserve"> of such tenant or any receiver appointed by such mortgagee or </w:t>
      </w:r>
      <w:proofErr w:type="spellStart"/>
      <w:r w:rsidRPr="00A80E1F">
        <w:rPr>
          <w:rFonts w:asciiTheme="minorHAnsi" w:hAnsiTheme="minorHAnsi"/>
          <w:color w:val="000000"/>
          <w:sz w:val="22"/>
          <w:szCs w:val="22"/>
        </w:rPr>
        <w:t>chargee</w:t>
      </w:r>
      <w:proofErr w:type="spellEnd"/>
      <w:r w:rsidRPr="00A80E1F">
        <w:rPr>
          <w:rFonts w:asciiTheme="minorHAnsi" w:hAnsiTheme="minorHAnsi"/>
          <w:color w:val="000000"/>
          <w:sz w:val="22"/>
          <w:szCs w:val="22"/>
        </w:rPr>
        <w:t xml:space="preserve"> (including administrative receivers);</w:t>
      </w:r>
    </w:p>
    <w:p w14:paraId="1BC6C634" w14:textId="671A1CB0" w:rsidR="00A80E1F" w:rsidRDefault="00A80E1F" w:rsidP="00A80E1F">
      <w:pPr>
        <w:pStyle w:val="ListParagraph"/>
        <w:numPr>
          <w:ilvl w:val="0"/>
          <w:numId w:val="9"/>
        </w:numPr>
        <w:rPr>
          <w:rFonts w:asciiTheme="minorHAnsi" w:hAnsiTheme="minorHAnsi"/>
          <w:color w:val="000000"/>
          <w:sz w:val="22"/>
          <w:szCs w:val="22"/>
        </w:rPr>
      </w:pPr>
      <w:r w:rsidRPr="00A80E1F">
        <w:rPr>
          <w:rFonts w:asciiTheme="minorHAnsi" w:hAnsiTheme="minorHAnsi"/>
          <w:color w:val="000000"/>
          <w:sz w:val="22"/>
          <w:szCs w:val="22"/>
        </w:rPr>
        <w:t xml:space="preserve">an occupier who has purchased 100% of the equity of a Shared Ownership </w:t>
      </w:r>
      <w:r w:rsidR="000B552E">
        <w:rPr>
          <w:rFonts w:asciiTheme="minorHAnsi" w:hAnsiTheme="minorHAnsi"/>
          <w:color w:val="000000"/>
          <w:sz w:val="22"/>
          <w:szCs w:val="22"/>
        </w:rPr>
        <w:t>unit</w:t>
      </w:r>
      <w:r w:rsidRPr="00A80E1F">
        <w:rPr>
          <w:rFonts w:asciiTheme="minorHAnsi" w:hAnsiTheme="minorHAnsi"/>
          <w:color w:val="000000"/>
          <w:sz w:val="22"/>
          <w:szCs w:val="22"/>
        </w:rPr>
        <w:t xml:space="preserve"> following the exercise of </w:t>
      </w:r>
      <w:r w:rsidR="000B552E">
        <w:rPr>
          <w:rFonts w:asciiTheme="minorHAnsi" w:hAnsiTheme="minorHAnsi"/>
          <w:color w:val="000000"/>
          <w:sz w:val="22"/>
          <w:szCs w:val="22"/>
        </w:rPr>
        <w:t>s</w:t>
      </w:r>
      <w:r w:rsidRPr="00A80E1F">
        <w:rPr>
          <w:rFonts w:asciiTheme="minorHAnsi" w:hAnsiTheme="minorHAnsi"/>
          <w:color w:val="000000"/>
          <w:sz w:val="22"/>
          <w:szCs w:val="22"/>
        </w:rPr>
        <w:t xml:space="preserve">taircasing rights or any mortgagee or </w:t>
      </w:r>
      <w:proofErr w:type="spellStart"/>
      <w:r w:rsidRPr="00A80E1F">
        <w:rPr>
          <w:rFonts w:asciiTheme="minorHAnsi" w:hAnsiTheme="minorHAnsi"/>
          <w:color w:val="000000"/>
          <w:sz w:val="22"/>
          <w:szCs w:val="22"/>
        </w:rPr>
        <w:t>chargee</w:t>
      </w:r>
      <w:proofErr w:type="spellEnd"/>
      <w:r w:rsidRPr="00A80E1F">
        <w:rPr>
          <w:rFonts w:asciiTheme="minorHAnsi" w:hAnsiTheme="minorHAnsi"/>
          <w:color w:val="000000"/>
          <w:sz w:val="22"/>
          <w:szCs w:val="22"/>
        </w:rPr>
        <w:t xml:space="preserve"> of such </w:t>
      </w:r>
      <w:r w:rsidR="000B552E">
        <w:rPr>
          <w:rFonts w:asciiTheme="minorHAnsi" w:hAnsiTheme="minorHAnsi"/>
          <w:color w:val="000000"/>
          <w:sz w:val="22"/>
          <w:szCs w:val="22"/>
        </w:rPr>
        <w:t>o</w:t>
      </w:r>
      <w:r w:rsidRPr="00A80E1F">
        <w:rPr>
          <w:rFonts w:asciiTheme="minorHAnsi" w:hAnsiTheme="minorHAnsi"/>
          <w:color w:val="000000"/>
          <w:sz w:val="22"/>
          <w:szCs w:val="22"/>
        </w:rPr>
        <w:t xml:space="preserve">ccupier or any receiver appointed by such mortgagee or </w:t>
      </w:r>
      <w:proofErr w:type="spellStart"/>
      <w:r w:rsidRPr="00A80E1F">
        <w:rPr>
          <w:rFonts w:asciiTheme="minorHAnsi" w:hAnsiTheme="minorHAnsi"/>
          <w:color w:val="000000"/>
          <w:sz w:val="22"/>
          <w:szCs w:val="22"/>
        </w:rPr>
        <w:t>chargee</w:t>
      </w:r>
      <w:proofErr w:type="spellEnd"/>
      <w:r w:rsidRPr="00A80E1F">
        <w:rPr>
          <w:rFonts w:asciiTheme="minorHAnsi" w:hAnsiTheme="minorHAnsi"/>
          <w:color w:val="000000"/>
          <w:sz w:val="22"/>
          <w:szCs w:val="22"/>
        </w:rPr>
        <w:t xml:space="preserve"> (including administrative receivers); </w:t>
      </w:r>
    </w:p>
    <w:p w14:paraId="59DE83BA" w14:textId="14A876B2" w:rsidR="00A80E1F" w:rsidRPr="00A80E1F" w:rsidRDefault="00A80E1F" w:rsidP="00A80E1F">
      <w:pPr>
        <w:pStyle w:val="ListParagraph"/>
        <w:numPr>
          <w:ilvl w:val="0"/>
          <w:numId w:val="9"/>
        </w:numPr>
        <w:rPr>
          <w:rFonts w:asciiTheme="minorHAnsi" w:hAnsiTheme="minorHAnsi"/>
          <w:color w:val="000000"/>
          <w:sz w:val="22"/>
          <w:szCs w:val="22"/>
        </w:rPr>
      </w:pPr>
      <w:r w:rsidRPr="00A80E1F">
        <w:rPr>
          <w:rFonts w:asciiTheme="minorHAnsi" w:hAnsiTheme="minorHAnsi"/>
          <w:color w:val="000000"/>
          <w:sz w:val="22"/>
          <w:szCs w:val="22"/>
        </w:rPr>
        <w:t xml:space="preserve">any successors in title to the above at </w:t>
      </w:r>
      <w:r>
        <w:rPr>
          <w:rFonts w:asciiTheme="minorHAnsi" w:hAnsiTheme="minorHAnsi"/>
          <w:color w:val="000000"/>
          <w:sz w:val="22"/>
          <w:szCs w:val="22"/>
        </w:rPr>
        <w:t>a), b) or c).</w:t>
      </w:r>
    </w:p>
    <w:sectPr w:rsidR="00A80E1F" w:rsidRPr="00A80E1F" w:rsidSect="00B80D9B">
      <w:pgSz w:w="11906" w:h="16838"/>
      <w:pgMar w:top="1361" w:right="1361" w:bottom="1361" w:left="136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MT">
    <w:altName w:val="Times New Roman"/>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00000001"/>
    <w:lvl w:ilvl="0" w:tplc="FFFFFFFF">
      <w:start w:val="1"/>
      <w:numFmt w:val="lowerLetter"/>
      <w:lvlText w:val="%1)"/>
      <w:lvlJc w:val="left"/>
      <w:pPr>
        <w:ind w:left="0" w:firstLine="0"/>
      </w:pPr>
      <w:rPr>
        <w:rFonts w:ascii="Arial" w:eastAsia="Arial" w:hAnsi="Arial" w:cs="Arial"/>
        <w:b w:val="0"/>
        <w:bCs w:val="0"/>
        <w:i w:val="0"/>
        <w:iCs w:val="0"/>
        <w:smallCaps w:val="0"/>
        <w:color w:val="000000"/>
        <w:sz w:val="24"/>
        <w:szCs w:val="24"/>
        <w:lang w:val="en-GB" w:eastAsia="en-GB" w:bidi="ar-SA"/>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0000005"/>
    <w:multiLevelType w:val="hybridMultilevel"/>
    <w:tmpl w:val="00000005"/>
    <w:lvl w:ilvl="0" w:tplc="FFFFFFFF">
      <w:start w:val="4"/>
      <w:numFmt w:val="lowerLetter"/>
      <w:lvlText w:val="%1)"/>
      <w:lvlJc w:val="left"/>
      <w:pPr>
        <w:ind w:left="0" w:firstLine="0"/>
      </w:pPr>
      <w:rPr>
        <w:rFonts w:ascii="Arial" w:eastAsia="Arial" w:hAnsi="Arial" w:cs="Arial"/>
        <w:b w:val="0"/>
        <w:bCs w:val="0"/>
        <w:i w:val="0"/>
        <w:iCs w:val="0"/>
        <w:smallCaps w:val="0"/>
        <w:color w:val="000000"/>
        <w:sz w:val="24"/>
        <w:szCs w:val="24"/>
        <w:lang w:val="en-GB" w:eastAsia="en-GB" w:bidi="ar-SA"/>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 w15:restartNumberingAfterBreak="0">
    <w:nsid w:val="154A5C46"/>
    <w:multiLevelType w:val="multilevel"/>
    <w:tmpl w:val="C97AE9BE"/>
    <w:lvl w:ilvl="0">
      <w:start w:val="1"/>
      <w:numFmt w:val="decimal"/>
      <w:pStyle w:val="Schedule"/>
      <w:lvlText w:val="%1"/>
      <w:lvlJc w:val="center"/>
      <w:pPr>
        <w:tabs>
          <w:tab w:val="num" w:pos="0"/>
        </w:tabs>
        <w:ind w:left="0" w:firstLine="0"/>
      </w:pPr>
      <w:rPr>
        <w:vanish/>
        <w:webHidden w:val="0"/>
        <w:color w:val="FFFFFF"/>
        <w:specVanish w:val="0"/>
      </w:rPr>
    </w:lvl>
    <w:lvl w:ilvl="1">
      <w:start w:val="2"/>
      <w:numFmt w:val="decimal"/>
      <w:isLgl/>
      <w:lvlText w:val="%1.%2"/>
      <w:lvlJc w:val="left"/>
      <w:pPr>
        <w:ind w:left="1443" w:hanging="735"/>
      </w:pPr>
      <w:rPr>
        <w:rFonts w:eastAsia="Times New Roman"/>
      </w:rPr>
    </w:lvl>
    <w:lvl w:ilvl="2">
      <w:start w:val="1"/>
      <w:numFmt w:val="decimal"/>
      <w:isLgl/>
      <w:lvlText w:val="%1.%2.%3"/>
      <w:lvlJc w:val="left"/>
      <w:pPr>
        <w:ind w:left="2153" w:hanging="735"/>
      </w:pPr>
      <w:rPr>
        <w:rFonts w:eastAsia="Times New Roman"/>
      </w:rPr>
    </w:lvl>
    <w:lvl w:ilvl="3">
      <w:start w:val="1"/>
      <w:numFmt w:val="decimal"/>
      <w:isLgl/>
      <w:lvlText w:val="%1.%2.%3.%4"/>
      <w:lvlJc w:val="left"/>
      <w:pPr>
        <w:ind w:left="2862" w:hanging="735"/>
      </w:pPr>
      <w:rPr>
        <w:rFonts w:eastAsia="Times New Roman"/>
      </w:rPr>
    </w:lvl>
    <w:lvl w:ilvl="4">
      <w:start w:val="1"/>
      <w:numFmt w:val="decimal"/>
      <w:isLgl/>
      <w:lvlText w:val="%1.%2.%3.%4.%5"/>
      <w:lvlJc w:val="left"/>
      <w:pPr>
        <w:ind w:left="3571" w:hanging="735"/>
      </w:pPr>
      <w:rPr>
        <w:rFonts w:eastAsia="Times New Roman"/>
      </w:rPr>
    </w:lvl>
    <w:lvl w:ilvl="5">
      <w:start w:val="1"/>
      <w:numFmt w:val="decimal"/>
      <w:isLgl/>
      <w:lvlText w:val="%1.%2.%3.%4.%5.%6"/>
      <w:lvlJc w:val="left"/>
      <w:pPr>
        <w:ind w:left="4625" w:hanging="1080"/>
      </w:pPr>
      <w:rPr>
        <w:rFonts w:eastAsia="Times New Roman"/>
      </w:rPr>
    </w:lvl>
    <w:lvl w:ilvl="6">
      <w:start w:val="1"/>
      <w:numFmt w:val="decimal"/>
      <w:isLgl/>
      <w:lvlText w:val="%1.%2.%3.%4.%5.%6.%7"/>
      <w:lvlJc w:val="left"/>
      <w:pPr>
        <w:ind w:left="5334" w:hanging="1080"/>
      </w:pPr>
      <w:rPr>
        <w:rFonts w:eastAsia="Times New Roman"/>
      </w:rPr>
    </w:lvl>
    <w:lvl w:ilvl="7">
      <w:start w:val="1"/>
      <w:numFmt w:val="decimal"/>
      <w:isLgl/>
      <w:lvlText w:val="%1.%2.%3.%4.%5.%6.%7.%8"/>
      <w:lvlJc w:val="left"/>
      <w:pPr>
        <w:ind w:left="6403" w:hanging="1440"/>
      </w:pPr>
      <w:rPr>
        <w:rFonts w:eastAsia="Times New Roman"/>
      </w:rPr>
    </w:lvl>
    <w:lvl w:ilvl="8">
      <w:start w:val="1"/>
      <w:numFmt w:val="decimal"/>
      <w:isLgl/>
      <w:lvlText w:val="%1.%2.%3.%4.%5.%6.%7.%8.%9"/>
      <w:lvlJc w:val="left"/>
      <w:pPr>
        <w:ind w:left="7112" w:hanging="1440"/>
      </w:pPr>
      <w:rPr>
        <w:rFonts w:eastAsia="Times New Roman"/>
      </w:rPr>
    </w:lvl>
  </w:abstractNum>
  <w:abstractNum w:abstractNumId="4" w15:restartNumberingAfterBreak="0">
    <w:nsid w:val="1A5567FD"/>
    <w:multiLevelType w:val="hybridMultilevel"/>
    <w:tmpl w:val="909894BC"/>
    <w:lvl w:ilvl="0" w:tplc="08090017">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31511D83"/>
    <w:multiLevelType w:val="hybridMultilevel"/>
    <w:tmpl w:val="C966F8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2787184"/>
    <w:multiLevelType w:val="multilevel"/>
    <w:tmpl w:val="EC10CAD8"/>
    <w:lvl w:ilvl="0">
      <w:start w:val="1"/>
      <w:numFmt w:val="decimal"/>
      <w:pStyle w:val="Level1"/>
      <w:lvlText w:val="%1."/>
      <w:lvlJc w:val="left"/>
      <w:pPr>
        <w:tabs>
          <w:tab w:val="num" w:pos="851"/>
        </w:tabs>
        <w:ind w:left="851" w:hanging="851"/>
      </w:pPr>
      <w:rPr>
        <w:rFonts w:hint="default"/>
        <w:b w:val="0"/>
        <w:i w:val="0"/>
        <w:strike w:val="0"/>
        <w:dstrike w:val="0"/>
        <w:u w:val="none"/>
        <w:effect w:val="none"/>
      </w:rPr>
    </w:lvl>
    <w:lvl w:ilvl="1">
      <w:start w:val="1"/>
      <w:numFmt w:val="decimal"/>
      <w:pStyle w:val="Level2"/>
      <w:lvlText w:val="%1.%2"/>
      <w:lvlJc w:val="left"/>
      <w:pPr>
        <w:tabs>
          <w:tab w:val="num" w:pos="851"/>
        </w:tabs>
        <w:ind w:left="851" w:hanging="851"/>
      </w:pPr>
      <w:rPr>
        <w:rFonts w:hint="default"/>
        <w:b w:val="0"/>
        <w:i w:val="0"/>
        <w:strike w:val="0"/>
        <w:dstrike w:val="0"/>
        <w:u w:val="none"/>
        <w:effect w:val="none"/>
      </w:rPr>
    </w:lvl>
    <w:lvl w:ilvl="2">
      <w:start w:val="1"/>
      <w:numFmt w:val="decimal"/>
      <w:pStyle w:val="Level3"/>
      <w:lvlText w:val="%1.%2.%3"/>
      <w:lvlJc w:val="left"/>
      <w:pPr>
        <w:tabs>
          <w:tab w:val="num" w:pos="1843"/>
        </w:tabs>
        <w:ind w:left="1843" w:hanging="992"/>
      </w:pPr>
      <w:rPr>
        <w:rFonts w:hint="default"/>
        <w:b w:val="0"/>
        <w:i w:val="0"/>
        <w:strike w:val="0"/>
        <w:dstrike w:val="0"/>
        <w:u w:val="none"/>
        <w:effect w:val="none"/>
      </w:rPr>
    </w:lvl>
    <w:lvl w:ilvl="3">
      <w:start w:val="1"/>
      <w:numFmt w:val="decimal"/>
      <w:pStyle w:val="Level4"/>
      <w:lvlText w:val="%1.%2.%3.%4"/>
      <w:lvlJc w:val="left"/>
      <w:pPr>
        <w:tabs>
          <w:tab w:val="num" w:pos="3119"/>
        </w:tabs>
        <w:ind w:left="3119" w:hanging="1276"/>
      </w:pPr>
      <w:rPr>
        <w:rFonts w:hint="default"/>
        <w:b w:val="0"/>
        <w:i w:val="0"/>
        <w:strike w:val="0"/>
        <w:dstrike w:val="0"/>
        <w:u w:val="none"/>
        <w:effect w:val="none"/>
      </w:rPr>
    </w:lvl>
    <w:lvl w:ilvl="4">
      <w:start w:val="1"/>
      <w:numFmt w:val="lowerLetter"/>
      <w:pStyle w:val="Level5"/>
      <w:lvlText w:val="(%5)"/>
      <w:lvlJc w:val="left"/>
      <w:pPr>
        <w:tabs>
          <w:tab w:val="num" w:pos="3119"/>
        </w:tabs>
        <w:ind w:left="3119" w:hanging="1276"/>
      </w:pPr>
      <w:rPr>
        <w:rFonts w:hint="default"/>
        <w:b w:val="0"/>
        <w:i w:val="0"/>
        <w:strike w:val="0"/>
        <w:dstrike w:val="0"/>
        <w:u w:val="none"/>
        <w:effect w:val="none"/>
      </w:rPr>
    </w:lvl>
    <w:lvl w:ilvl="5">
      <w:start w:val="1"/>
      <w:numFmt w:val="none"/>
      <w:lvlText w:val="(Not Defined)"/>
      <w:lvlJc w:val="left"/>
      <w:pPr>
        <w:tabs>
          <w:tab w:val="num" w:pos="3240"/>
        </w:tabs>
        <w:ind w:left="2736" w:hanging="936"/>
      </w:pPr>
      <w:rPr>
        <w:rFonts w:hint="default"/>
      </w:rPr>
    </w:lvl>
    <w:lvl w:ilvl="6">
      <w:start w:val="1"/>
      <w:numFmt w:val="none"/>
      <w:lvlText w:val="(Not Defined)"/>
      <w:lvlJc w:val="left"/>
      <w:pPr>
        <w:tabs>
          <w:tab w:val="num" w:pos="3600"/>
        </w:tabs>
        <w:ind w:left="3240" w:hanging="1080"/>
      </w:pPr>
      <w:rPr>
        <w:rFonts w:hint="default"/>
      </w:rPr>
    </w:lvl>
    <w:lvl w:ilvl="7">
      <w:start w:val="1"/>
      <w:numFmt w:val="none"/>
      <w:lvlText w:val="(Not Defined)"/>
      <w:lvlJc w:val="left"/>
      <w:pPr>
        <w:tabs>
          <w:tab w:val="num" w:pos="3960"/>
        </w:tabs>
        <w:ind w:left="3744" w:hanging="1224"/>
      </w:pPr>
      <w:rPr>
        <w:rFonts w:hint="default"/>
      </w:rPr>
    </w:lvl>
    <w:lvl w:ilvl="8">
      <w:start w:val="1"/>
      <w:numFmt w:val="none"/>
      <w:lvlText w:val="(Not Defined)"/>
      <w:lvlJc w:val="left"/>
      <w:pPr>
        <w:tabs>
          <w:tab w:val="num" w:pos="4320"/>
        </w:tabs>
        <w:ind w:left="4320" w:hanging="1440"/>
      </w:pPr>
      <w:rPr>
        <w:rFonts w:hint="default"/>
      </w:rPr>
    </w:lvl>
  </w:abstractNum>
  <w:abstractNum w:abstractNumId="7" w15:restartNumberingAfterBreak="0">
    <w:nsid w:val="6EA73D55"/>
    <w:multiLevelType w:val="hybridMultilevel"/>
    <w:tmpl w:val="4892687A"/>
    <w:lvl w:ilvl="0" w:tplc="08090017">
      <w:start w:val="1"/>
      <w:numFmt w:val="lowerLetter"/>
      <w:lvlText w:val="%1)"/>
      <w:lvlJc w:val="left"/>
      <w:pPr>
        <w:ind w:left="2163" w:hanging="360"/>
      </w:pPr>
    </w:lvl>
    <w:lvl w:ilvl="1" w:tplc="08090019" w:tentative="1">
      <w:start w:val="1"/>
      <w:numFmt w:val="lowerLetter"/>
      <w:lvlText w:val="%2."/>
      <w:lvlJc w:val="left"/>
      <w:pPr>
        <w:ind w:left="2883" w:hanging="360"/>
      </w:pPr>
    </w:lvl>
    <w:lvl w:ilvl="2" w:tplc="0809001B" w:tentative="1">
      <w:start w:val="1"/>
      <w:numFmt w:val="lowerRoman"/>
      <w:lvlText w:val="%3."/>
      <w:lvlJc w:val="right"/>
      <w:pPr>
        <w:ind w:left="3603" w:hanging="180"/>
      </w:pPr>
    </w:lvl>
    <w:lvl w:ilvl="3" w:tplc="0809000F" w:tentative="1">
      <w:start w:val="1"/>
      <w:numFmt w:val="decimal"/>
      <w:lvlText w:val="%4."/>
      <w:lvlJc w:val="left"/>
      <w:pPr>
        <w:ind w:left="4323" w:hanging="360"/>
      </w:pPr>
    </w:lvl>
    <w:lvl w:ilvl="4" w:tplc="08090019" w:tentative="1">
      <w:start w:val="1"/>
      <w:numFmt w:val="lowerLetter"/>
      <w:lvlText w:val="%5."/>
      <w:lvlJc w:val="left"/>
      <w:pPr>
        <w:ind w:left="5043" w:hanging="360"/>
      </w:pPr>
    </w:lvl>
    <w:lvl w:ilvl="5" w:tplc="0809001B" w:tentative="1">
      <w:start w:val="1"/>
      <w:numFmt w:val="lowerRoman"/>
      <w:lvlText w:val="%6."/>
      <w:lvlJc w:val="right"/>
      <w:pPr>
        <w:ind w:left="5763" w:hanging="180"/>
      </w:pPr>
    </w:lvl>
    <w:lvl w:ilvl="6" w:tplc="0809000F" w:tentative="1">
      <w:start w:val="1"/>
      <w:numFmt w:val="decimal"/>
      <w:lvlText w:val="%7."/>
      <w:lvlJc w:val="left"/>
      <w:pPr>
        <w:ind w:left="6483" w:hanging="360"/>
      </w:pPr>
    </w:lvl>
    <w:lvl w:ilvl="7" w:tplc="08090019" w:tentative="1">
      <w:start w:val="1"/>
      <w:numFmt w:val="lowerLetter"/>
      <w:lvlText w:val="%8."/>
      <w:lvlJc w:val="left"/>
      <w:pPr>
        <w:ind w:left="7203" w:hanging="360"/>
      </w:pPr>
    </w:lvl>
    <w:lvl w:ilvl="8" w:tplc="0809001B" w:tentative="1">
      <w:start w:val="1"/>
      <w:numFmt w:val="lowerRoman"/>
      <w:lvlText w:val="%9."/>
      <w:lvlJc w:val="right"/>
      <w:pPr>
        <w:ind w:left="7923" w:hanging="180"/>
      </w:pPr>
    </w:lvl>
  </w:abstractNum>
  <w:abstractNum w:abstractNumId="8" w15:restartNumberingAfterBreak="0">
    <w:nsid w:val="7A2652FA"/>
    <w:multiLevelType w:val="hybridMultilevel"/>
    <w:tmpl w:val="13FC3188"/>
    <w:lvl w:ilvl="0" w:tplc="08090017">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67387084">
    <w:abstractNumId w:val="0"/>
  </w:num>
  <w:num w:numId="2" w16cid:durableId="1740010051">
    <w:abstractNumId w:val="1"/>
  </w:num>
  <w:num w:numId="3" w16cid:durableId="355664264">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0408855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3210338">
    <w:abstractNumId w:val="6"/>
  </w:num>
  <w:num w:numId="6" w16cid:durableId="759564408">
    <w:abstractNumId w:val="2"/>
  </w:num>
  <w:num w:numId="7" w16cid:durableId="1365861315">
    <w:abstractNumId w:val="7"/>
  </w:num>
  <w:num w:numId="8" w16cid:durableId="1262910503">
    <w:abstractNumId w:val="4"/>
  </w:num>
  <w:num w:numId="9" w16cid:durableId="195240081">
    <w:abstractNumId w:val="8"/>
  </w:num>
  <w:num w:numId="10" w16cid:durableId="25560400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E1F"/>
    <w:rsid w:val="00086C6D"/>
    <w:rsid w:val="000B552E"/>
    <w:rsid w:val="00334349"/>
    <w:rsid w:val="004D1BA5"/>
    <w:rsid w:val="005B4402"/>
    <w:rsid w:val="00631CF2"/>
    <w:rsid w:val="00735182"/>
    <w:rsid w:val="009A0893"/>
    <w:rsid w:val="00A80E1F"/>
    <w:rsid w:val="00B35662"/>
    <w:rsid w:val="00B80D9B"/>
    <w:rsid w:val="00BD7A59"/>
    <w:rsid w:val="00C90EFB"/>
    <w:rsid w:val="00EA3EB2"/>
    <w:rsid w:val="00F550BF"/>
    <w:rsid w:val="00FD3B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06565"/>
  <w15:chartTrackingRefBased/>
  <w15:docId w15:val="{FE01894F-FA87-42E2-A2EB-ABD1E4234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0E1F"/>
    <w:pPr>
      <w:spacing w:after="0" w:line="240" w:lineRule="auto"/>
      <w:jc w:val="both"/>
    </w:pPr>
    <w:rPr>
      <w:rFonts w:ascii="Arial" w:eastAsia="Arial" w:hAnsi="Arial" w:cs="Arial"/>
      <w:kern w:val="0"/>
      <w:sz w:val="20"/>
      <w:szCs w:val="20"/>
      <w:lang w:eastAsia="en-GB"/>
      <w14:ligatures w14:val="none"/>
    </w:rPr>
  </w:style>
  <w:style w:type="paragraph" w:styleId="Heading1">
    <w:name w:val="heading 1"/>
    <w:basedOn w:val="Normal"/>
    <w:next w:val="Normal"/>
    <w:link w:val="Heading1Char"/>
    <w:uiPriority w:val="9"/>
    <w:qFormat/>
    <w:rsid w:val="00A80E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0E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0E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0E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0E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0E1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0E1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0E1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0E1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0E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0E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0E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0E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0E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0E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0E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0E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0E1F"/>
    <w:rPr>
      <w:rFonts w:eastAsiaTheme="majorEastAsia" w:cstheme="majorBidi"/>
      <w:color w:val="272727" w:themeColor="text1" w:themeTint="D8"/>
    </w:rPr>
  </w:style>
  <w:style w:type="paragraph" w:styleId="Title">
    <w:name w:val="Title"/>
    <w:basedOn w:val="Normal"/>
    <w:next w:val="Normal"/>
    <w:link w:val="TitleChar"/>
    <w:uiPriority w:val="10"/>
    <w:qFormat/>
    <w:rsid w:val="00A80E1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0E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0E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0E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0E1F"/>
    <w:pPr>
      <w:spacing w:before="160"/>
      <w:jc w:val="center"/>
    </w:pPr>
    <w:rPr>
      <w:i/>
      <w:iCs/>
      <w:color w:val="404040" w:themeColor="text1" w:themeTint="BF"/>
    </w:rPr>
  </w:style>
  <w:style w:type="character" w:customStyle="1" w:styleId="QuoteChar">
    <w:name w:val="Quote Char"/>
    <w:basedOn w:val="DefaultParagraphFont"/>
    <w:link w:val="Quote"/>
    <w:uiPriority w:val="29"/>
    <w:rsid w:val="00A80E1F"/>
    <w:rPr>
      <w:i/>
      <w:iCs/>
      <w:color w:val="404040" w:themeColor="text1" w:themeTint="BF"/>
    </w:rPr>
  </w:style>
  <w:style w:type="paragraph" w:styleId="ListParagraph">
    <w:name w:val="List Paragraph"/>
    <w:basedOn w:val="Normal"/>
    <w:uiPriority w:val="99"/>
    <w:qFormat/>
    <w:rsid w:val="00A80E1F"/>
    <w:pPr>
      <w:ind w:left="720"/>
      <w:contextualSpacing/>
    </w:pPr>
  </w:style>
  <w:style w:type="character" w:styleId="IntenseEmphasis">
    <w:name w:val="Intense Emphasis"/>
    <w:basedOn w:val="DefaultParagraphFont"/>
    <w:uiPriority w:val="21"/>
    <w:qFormat/>
    <w:rsid w:val="00A80E1F"/>
    <w:rPr>
      <w:i/>
      <w:iCs/>
      <w:color w:val="0F4761" w:themeColor="accent1" w:themeShade="BF"/>
    </w:rPr>
  </w:style>
  <w:style w:type="paragraph" w:styleId="IntenseQuote">
    <w:name w:val="Intense Quote"/>
    <w:basedOn w:val="Normal"/>
    <w:next w:val="Normal"/>
    <w:link w:val="IntenseQuoteChar"/>
    <w:uiPriority w:val="30"/>
    <w:qFormat/>
    <w:rsid w:val="00A80E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0E1F"/>
    <w:rPr>
      <w:i/>
      <w:iCs/>
      <w:color w:val="0F4761" w:themeColor="accent1" w:themeShade="BF"/>
    </w:rPr>
  </w:style>
  <w:style w:type="character" w:styleId="IntenseReference">
    <w:name w:val="Intense Reference"/>
    <w:basedOn w:val="DefaultParagraphFont"/>
    <w:uiPriority w:val="32"/>
    <w:qFormat/>
    <w:rsid w:val="00A80E1F"/>
    <w:rPr>
      <w:b/>
      <w:bCs/>
      <w:smallCaps/>
      <w:color w:val="0F4761" w:themeColor="accent1" w:themeShade="BF"/>
      <w:spacing w:val="5"/>
    </w:rPr>
  </w:style>
  <w:style w:type="paragraph" w:customStyle="1" w:styleId="Level1">
    <w:name w:val="Level 1"/>
    <w:basedOn w:val="Normal"/>
    <w:uiPriority w:val="99"/>
    <w:qFormat/>
    <w:rsid w:val="00A80E1F"/>
    <w:pPr>
      <w:numPr>
        <w:numId w:val="5"/>
      </w:numPr>
      <w:spacing w:after="240"/>
      <w:outlineLvl w:val="0"/>
    </w:pPr>
    <w:rPr>
      <w:rFonts w:ascii="Verdana" w:eastAsia="Times New Roman" w:hAnsi="Verdana" w:cs="Times New Roman"/>
      <w:sz w:val="18"/>
      <w:szCs w:val="18"/>
      <w:lang w:eastAsia="zh-CN"/>
    </w:rPr>
  </w:style>
  <w:style w:type="paragraph" w:customStyle="1" w:styleId="Level2">
    <w:name w:val="Level 2"/>
    <w:basedOn w:val="Normal"/>
    <w:uiPriority w:val="99"/>
    <w:qFormat/>
    <w:rsid w:val="00A80E1F"/>
    <w:pPr>
      <w:numPr>
        <w:ilvl w:val="1"/>
        <w:numId w:val="5"/>
      </w:numPr>
      <w:spacing w:after="240"/>
      <w:outlineLvl w:val="1"/>
    </w:pPr>
    <w:rPr>
      <w:rFonts w:ascii="Verdana" w:eastAsia="Times New Roman" w:hAnsi="Verdana" w:cs="Times New Roman"/>
      <w:sz w:val="18"/>
      <w:szCs w:val="18"/>
      <w:lang w:eastAsia="zh-CN"/>
    </w:rPr>
  </w:style>
  <w:style w:type="paragraph" w:customStyle="1" w:styleId="Level3">
    <w:name w:val="Level 3"/>
    <w:basedOn w:val="Normal"/>
    <w:uiPriority w:val="99"/>
    <w:qFormat/>
    <w:rsid w:val="00A80E1F"/>
    <w:pPr>
      <w:numPr>
        <w:ilvl w:val="2"/>
        <w:numId w:val="5"/>
      </w:numPr>
      <w:spacing w:after="240"/>
      <w:outlineLvl w:val="2"/>
    </w:pPr>
    <w:rPr>
      <w:rFonts w:ascii="Verdana" w:eastAsia="Times New Roman" w:hAnsi="Verdana" w:cs="Times New Roman"/>
      <w:sz w:val="18"/>
      <w:szCs w:val="18"/>
      <w:lang w:eastAsia="zh-CN"/>
    </w:rPr>
  </w:style>
  <w:style w:type="paragraph" w:customStyle="1" w:styleId="Level4">
    <w:name w:val="Level 4"/>
    <w:basedOn w:val="Normal"/>
    <w:uiPriority w:val="99"/>
    <w:qFormat/>
    <w:rsid w:val="00A80E1F"/>
    <w:pPr>
      <w:numPr>
        <w:ilvl w:val="3"/>
        <w:numId w:val="5"/>
      </w:numPr>
      <w:spacing w:after="240"/>
      <w:outlineLvl w:val="3"/>
    </w:pPr>
    <w:rPr>
      <w:rFonts w:ascii="Verdana" w:eastAsia="Times New Roman" w:hAnsi="Verdana" w:cs="Times New Roman"/>
      <w:sz w:val="18"/>
      <w:szCs w:val="18"/>
      <w:lang w:eastAsia="zh-CN"/>
    </w:rPr>
  </w:style>
  <w:style w:type="paragraph" w:customStyle="1" w:styleId="Level5">
    <w:name w:val="Level 5"/>
    <w:basedOn w:val="Normal"/>
    <w:uiPriority w:val="99"/>
    <w:qFormat/>
    <w:rsid w:val="00A80E1F"/>
    <w:pPr>
      <w:numPr>
        <w:ilvl w:val="4"/>
        <w:numId w:val="5"/>
      </w:numPr>
      <w:spacing w:after="240"/>
      <w:outlineLvl w:val="4"/>
    </w:pPr>
    <w:rPr>
      <w:rFonts w:ascii="Verdana" w:eastAsia="Times New Roman" w:hAnsi="Verdana" w:cs="Times New Roman"/>
      <w:sz w:val="18"/>
      <w:szCs w:val="18"/>
      <w:lang w:eastAsia="zh-CN"/>
    </w:rPr>
  </w:style>
  <w:style w:type="paragraph" w:customStyle="1" w:styleId="Schedule">
    <w:name w:val="Schedule"/>
    <w:basedOn w:val="Normal"/>
    <w:uiPriority w:val="99"/>
    <w:semiHidden/>
    <w:rsid w:val="00A80E1F"/>
    <w:pPr>
      <w:keepNext/>
      <w:numPr>
        <w:numId w:val="3"/>
      </w:numPr>
      <w:spacing w:after="240"/>
      <w:jc w:val="center"/>
    </w:pPr>
    <w:rPr>
      <w:rFonts w:ascii="Verdana" w:eastAsia="Times New Roman" w:hAnsi="Verdana" w:cs="Times New Roman"/>
      <w:b/>
      <w:caps/>
      <w:sz w:val="24"/>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433</Words>
  <Characters>2471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Lyndsay Baxter</dc:creator>
  <cp:keywords/>
  <dc:description/>
  <cp:lastModifiedBy>Lyndsay Baxter</cp:lastModifiedBy>
  <cp:revision>4</cp:revision>
  <dcterms:created xsi:type="dcterms:W3CDTF">2025-02-21T15:22:00Z</dcterms:created>
  <dcterms:modified xsi:type="dcterms:W3CDTF">2025-03-14T15:51:00Z</dcterms:modified>
</cp:coreProperties>
</file>