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ED91" w14:textId="77777777" w:rsidR="001A6D65" w:rsidRPr="001A6D65" w:rsidRDefault="001A6D65" w:rsidP="001A6D65">
      <w:pPr>
        <w:rPr>
          <w:b/>
          <w:bCs/>
        </w:rPr>
      </w:pPr>
      <w:r w:rsidRPr="001A6D65">
        <w:rPr>
          <w:b/>
          <w:bCs/>
        </w:rPr>
        <w:t>Heritage Statement</w:t>
      </w:r>
    </w:p>
    <w:p w14:paraId="401A8C52" w14:textId="77777777" w:rsidR="001A6D65" w:rsidRPr="001A6D65" w:rsidRDefault="001A6D65" w:rsidP="001A6D65">
      <w:pPr>
        <w:rPr>
          <w:b/>
          <w:bCs/>
        </w:rPr>
      </w:pPr>
      <w:r w:rsidRPr="001A6D65">
        <w:rPr>
          <w:b/>
          <w:bCs/>
        </w:rPr>
        <w:t>33–35 Broad Lane (Carbrook House), Rochdale, OL16 4PG</w:t>
      </w:r>
    </w:p>
    <w:p w14:paraId="55860BEA" w14:textId="77777777" w:rsidR="001A6D65" w:rsidRPr="001A6D65" w:rsidRDefault="001A6D65" w:rsidP="001A6D65">
      <w:pPr>
        <w:rPr>
          <w:b/>
          <w:bCs/>
        </w:rPr>
      </w:pPr>
      <w:r w:rsidRPr="001A6D65">
        <w:rPr>
          <w:b/>
          <w:bCs/>
        </w:rPr>
        <w:t>1. Introduction</w:t>
      </w:r>
    </w:p>
    <w:p w14:paraId="1283FFF4" w14:textId="77777777" w:rsidR="001A6D65" w:rsidRPr="001A6D65" w:rsidRDefault="001A6D65" w:rsidP="001A6D65">
      <w:r w:rsidRPr="001A6D65">
        <w:t>This Heritage Statement accompanies the renovation proposals for 33–35 Broad Lane (Carbrook House). It provides an assessment of the building’s heritage significance, evaluates the potential impact of the proposed works, and sets out justification in accordance with the expectations of Rochdale Borough Council, Policy P2 (Heritage) of the Rochdale Core Strategy, and Section 16 of the National Planning Policy Framework (NPPF).</w:t>
      </w:r>
    </w:p>
    <w:p w14:paraId="6CFEF55A" w14:textId="77777777" w:rsidR="001A6D65" w:rsidRPr="001A6D65" w:rsidRDefault="001A6D65" w:rsidP="001A6D65">
      <w:r w:rsidRPr="001A6D65">
        <w:pict w14:anchorId="6C539D08">
          <v:rect id="_x0000_i1061" style="width:0;height:1.5pt" o:hralign="center" o:hrstd="t" o:hr="t" fillcolor="#a0a0a0" stroked="f"/>
        </w:pict>
      </w:r>
    </w:p>
    <w:p w14:paraId="0C176300" w14:textId="77777777" w:rsidR="001A6D65" w:rsidRPr="001A6D65" w:rsidRDefault="001A6D65" w:rsidP="001A6D65">
      <w:pPr>
        <w:rPr>
          <w:b/>
          <w:bCs/>
        </w:rPr>
      </w:pPr>
      <w:r w:rsidRPr="001A6D65">
        <w:rPr>
          <w:b/>
          <w:bCs/>
        </w:rPr>
        <w:t>2. Site Description and Historical Context</w:t>
      </w:r>
    </w:p>
    <w:p w14:paraId="783DC0A7" w14:textId="77777777" w:rsidR="001A6D65" w:rsidRPr="001A6D65" w:rsidRDefault="001A6D65" w:rsidP="001A6D65">
      <w:r w:rsidRPr="001A6D65">
        <w:t>Carbrook House comprises two adjoining historic cottages located on Broad Lane in Rochdale. The surrounding area features a mix of 19th</w:t>
      </w:r>
      <w:r w:rsidRPr="001A6D65">
        <w:noBreakHyphen/>
        <w:t>century residential buildings and later development. Key characteristics of the property include:</w:t>
      </w:r>
    </w:p>
    <w:p w14:paraId="7414B5B5" w14:textId="77777777" w:rsidR="001A6D65" w:rsidRPr="001A6D65" w:rsidRDefault="001A6D65" w:rsidP="001A6D65">
      <w:pPr>
        <w:numPr>
          <w:ilvl w:val="0"/>
          <w:numId w:val="1"/>
        </w:numPr>
      </w:pPr>
      <w:r w:rsidRPr="001A6D65">
        <w:t>Traditional stone masonry construction typical of Greater Manchester vernacular architecture.</w:t>
      </w:r>
    </w:p>
    <w:p w14:paraId="598BE873" w14:textId="77777777" w:rsidR="001A6D65" w:rsidRPr="001A6D65" w:rsidRDefault="001A6D65" w:rsidP="001A6D65">
      <w:pPr>
        <w:numPr>
          <w:ilvl w:val="0"/>
          <w:numId w:val="1"/>
        </w:numPr>
      </w:pPr>
      <w:r w:rsidRPr="001A6D65">
        <w:t>Timber windows and doors aligned with historic cottage proportions.</w:t>
      </w:r>
    </w:p>
    <w:p w14:paraId="1D0C4B2D" w14:textId="77777777" w:rsidR="001A6D65" w:rsidRPr="001A6D65" w:rsidRDefault="001A6D65" w:rsidP="001A6D65">
      <w:pPr>
        <w:numPr>
          <w:ilvl w:val="0"/>
          <w:numId w:val="1"/>
        </w:numPr>
      </w:pPr>
      <w:r w:rsidRPr="001A6D65">
        <w:t>Surviving structural and architectural features that contribute to the property’s historic character.</w:t>
      </w:r>
    </w:p>
    <w:p w14:paraId="7BACC68D" w14:textId="77777777" w:rsidR="001A6D65" w:rsidRPr="001A6D65" w:rsidRDefault="001A6D65" w:rsidP="001A6D65">
      <w:r w:rsidRPr="001A6D65">
        <w:t>The building forms part of the historic evolution of Broad Lane, which developed as a semi</w:t>
      </w:r>
      <w:r w:rsidRPr="001A6D65">
        <w:noBreakHyphen/>
        <w:t>rural ribbon settlement before later urban expansion.</w:t>
      </w:r>
    </w:p>
    <w:p w14:paraId="2E49FAD2" w14:textId="77777777" w:rsidR="001A6D65" w:rsidRPr="001A6D65" w:rsidRDefault="001A6D65" w:rsidP="001A6D65">
      <w:r w:rsidRPr="001A6D65">
        <w:pict w14:anchorId="5EBC361D">
          <v:rect id="_x0000_i1062" style="width:0;height:1.5pt" o:hralign="center" o:hrstd="t" o:hr="t" fillcolor="#a0a0a0" stroked="f"/>
        </w:pict>
      </w:r>
    </w:p>
    <w:p w14:paraId="67281DD5" w14:textId="77777777" w:rsidR="001A6D65" w:rsidRPr="001A6D65" w:rsidRDefault="001A6D65" w:rsidP="001A6D65">
      <w:pPr>
        <w:rPr>
          <w:b/>
          <w:bCs/>
        </w:rPr>
      </w:pPr>
      <w:r w:rsidRPr="001A6D65">
        <w:rPr>
          <w:b/>
          <w:bCs/>
        </w:rPr>
        <w:t>3. Assessment of Heritage Significance</w:t>
      </w:r>
    </w:p>
    <w:p w14:paraId="090D6287" w14:textId="77777777" w:rsidR="001A6D65" w:rsidRPr="001A6D65" w:rsidRDefault="001A6D65" w:rsidP="001A6D65">
      <w:r w:rsidRPr="001A6D65">
        <w:t>The significance of Carbrook House can be understood under four categories:</w:t>
      </w:r>
    </w:p>
    <w:p w14:paraId="618988F7" w14:textId="77777777" w:rsidR="001A6D65" w:rsidRPr="001A6D65" w:rsidRDefault="001A6D65" w:rsidP="001A6D65">
      <w:pPr>
        <w:rPr>
          <w:b/>
          <w:bCs/>
        </w:rPr>
      </w:pPr>
      <w:r w:rsidRPr="001A6D65">
        <w:rPr>
          <w:b/>
          <w:bCs/>
        </w:rPr>
        <w:t>3.1 Architectural and Aesthetic Value</w:t>
      </w:r>
    </w:p>
    <w:p w14:paraId="74586736" w14:textId="77777777" w:rsidR="001A6D65" w:rsidRPr="001A6D65" w:rsidRDefault="001A6D65" w:rsidP="001A6D65">
      <w:pPr>
        <w:numPr>
          <w:ilvl w:val="0"/>
          <w:numId w:val="2"/>
        </w:numPr>
      </w:pPr>
      <w:r w:rsidRPr="001A6D65">
        <w:t>Traditional stone construction reflecting local craftsmanship.</w:t>
      </w:r>
    </w:p>
    <w:p w14:paraId="7E7C69A4" w14:textId="77777777" w:rsidR="001A6D65" w:rsidRPr="001A6D65" w:rsidRDefault="001A6D65" w:rsidP="001A6D65">
      <w:pPr>
        <w:numPr>
          <w:ilvl w:val="0"/>
          <w:numId w:val="2"/>
        </w:numPr>
      </w:pPr>
      <w:r w:rsidRPr="001A6D65">
        <w:t>Symmetrical cottage façade and traditional opening proportions.</w:t>
      </w:r>
    </w:p>
    <w:p w14:paraId="05EDAF7E" w14:textId="77777777" w:rsidR="001A6D65" w:rsidRPr="001A6D65" w:rsidRDefault="001A6D65" w:rsidP="001A6D65">
      <w:pPr>
        <w:numPr>
          <w:ilvl w:val="0"/>
          <w:numId w:val="2"/>
        </w:numPr>
      </w:pPr>
      <w:r w:rsidRPr="001A6D65">
        <w:t>Timber joinery that maintains authentic historic appearance.</w:t>
      </w:r>
    </w:p>
    <w:p w14:paraId="0A723271" w14:textId="77777777" w:rsidR="001A6D65" w:rsidRPr="001A6D65" w:rsidRDefault="001A6D65" w:rsidP="001A6D65">
      <w:pPr>
        <w:rPr>
          <w:b/>
          <w:bCs/>
        </w:rPr>
      </w:pPr>
      <w:r w:rsidRPr="001A6D65">
        <w:rPr>
          <w:b/>
          <w:bCs/>
        </w:rPr>
        <w:t>3.2 Historic and Evidential Value</w:t>
      </w:r>
    </w:p>
    <w:p w14:paraId="5A05DF55" w14:textId="77777777" w:rsidR="001A6D65" w:rsidRPr="001A6D65" w:rsidRDefault="001A6D65" w:rsidP="001A6D65">
      <w:pPr>
        <w:numPr>
          <w:ilvl w:val="0"/>
          <w:numId w:val="3"/>
        </w:numPr>
      </w:pPr>
      <w:r w:rsidRPr="001A6D65">
        <w:t>Plan form that retains evidence of original two-cottage structure.</w:t>
      </w:r>
    </w:p>
    <w:p w14:paraId="2E55A841" w14:textId="77777777" w:rsidR="001A6D65" w:rsidRPr="001A6D65" w:rsidRDefault="001A6D65" w:rsidP="001A6D65">
      <w:pPr>
        <w:numPr>
          <w:ilvl w:val="0"/>
          <w:numId w:val="3"/>
        </w:numPr>
      </w:pPr>
      <w:r w:rsidRPr="001A6D65">
        <w:lastRenderedPageBreak/>
        <w:t>Surviving internal features and room proportions that offer clues to historic domestic life.</w:t>
      </w:r>
    </w:p>
    <w:p w14:paraId="2724A06E" w14:textId="77777777" w:rsidR="001A6D65" w:rsidRPr="001A6D65" w:rsidRDefault="001A6D65" w:rsidP="001A6D65">
      <w:pPr>
        <w:rPr>
          <w:b/>
          <w:bCs/>
        </w:rPr>
      </w:pPr>
      <w:r w:rsidRPr="001A6D65">
        <w:rPr>
          <w:b/>
          <w:bCs/>
        </w:rPr>
        <w:t>3.3 Communal Value</w:t>
      </w:r>
    </w:p>
    <w:p w14:paraId="432B5522" w14:textId="77777777" w:rsidR="001A6D65" w:rsidRPr="001A6D65" w:rsidRDefault="001A6D65" w:rsidP="001A6D65">
      <w:pPr>
        <w:numPr>
          <w:ilvl w:val="0"/>
          <w:numId w:val="4"/>
        </w:numPr>
      </w:pPr>
      <w:r w:rsidRPr="001A6D65">
        <w:t>Contribution to the historic character and identity of Broad Lane.</w:t>
      </w:r>
    </w:p>
    <w:p w14:paraId="706DC387" w14:textId="77777777" w:rsidR="001A6D65" w:rsidRPr="001A6D65" w:rsidRDefault="001A6D65" w:rsidP="001A6D65">
      <w:pPr>
        <w:numPr>
          <w:ilvl w:val="0"/>
          <w:numId w:val="4"/>
        </w:numPr>
      </w:pPr>
      <w:r w:rsidRPr="001A6D65">
        <w:t>Visibility and familiarity within the streetscape.</w:t>
      </w:r>
    </w:p>
    <w:p w14:paraId="3DF30B81" w14:textId="77777777" w:rsidR="001A6D65" w:rsidRPr="001A6D65" w:rsidRDefault="001A6D65" w:rsidP="001A6D65">
      <w:pPr>
        <w:rPr>
          <w:b/>
          <w:bCs/>
        </w:rPr>
      </w:pPr>
      <w:r w:rsidRPr="001A6D65">
        <w:rPr>
          <w:b/>
          <w:bCs/>
        </w:rPr>
        <w:t>3.4 Setting</w:t>
      </w:r>
    </w:p>
    <w:p w14:paraId="300D1846" w14:textId="77777777" w:rsidR="001A6D65" w:rsidRPr="001A6D65" w:rsidRDefault="001A6D65" w:rsidP="001A6D65">
      <w:pPr>
        <w:numPr>
          <w:ilvl w:val="0"/>
          <w:numId w:val="5"/>
        </w:numPr>
      </w:pPr>
      <w:r w:rsidRPr="001A6D65">
        <w:t>Although not within a conservation area, the cottage contributes positively to the traditional character of the locality.</w:t>
      </w:r>
    </w:p>
    <w:p w14:paraId="0169090E" w14:textId="77777777" w:rsidR="001A6D65" w:rsidRPr="001A6D65" w:rsidRDefault="001A6D65" w:rsidP="001A6D65">
      <w:r w:rsidRPr="001A6D65">
        <w:pict w14:anchorId="7574DA43">
          <v:rect id="_x0000_i1063" style="width:0;height:1.5pt" o:hralign="center" o:hrstd="t" o:hr="t" fillcolor="#a0a0a0" stroked="f"/>
        </w:pict>
      </w:r>
    </w:p>
    <w:p w14:paraId="358D0679" w14:textId="77777777" w:rsidR="001A6D65" w:rsidRPr="001A6D65" w:rsidRDefault="001A6D65" w:rsidP="001A6D65">
      <w:pPr>
        <w:rPr>
          <w:b/>
          <w:bCs/>
        </w:rPr>
      </w:pPr>
      <w:r w:rsidRPr="001A6D65">
        <w:rPr>
          <w:b/>
          <w:bCs/>
        </w:rPr>
        <w:t>4. Proposed Works</w:t>
      </w:r>
    </w:p>
    <w:p w14:paraId="7E3E261F" w14:textId="77777777" w:rsidR="001A6D65" w:rsidRPr="001A6D65" w:rsidRDefault="001A6D65" w:rsidP="001A6D65">
      <w:r w:rsidRPr="001A6D65">
        <w:t>The renovation works include:</w:t>
      </w:r>
    </w:p>
    <w:p w14:paraId="31497A95" w14:textId="77777777" w:rsidR="001A6D65" w:rsidRPr="001A6D65" w:rsidRDefault="001A6D65" w:rsidP="001A6D65">
      <w:pPr>
        <w:numPr>
          <w:ilvl w:val="0"/>
          <w:numId w:val="6"/>
        </w:numPr>
      </w:pPr>
      <w:r w:rsidRPr="001A6D65">
        <w:t>Like</w:t>
      </w:r>
      <w:r w:rsidRPr="001A6D65">
        <w:noBreakHyphen/>
        <w:t>for</w:t>
      </w:r>
      <w:r w:rsidRPr="001A6D65">
        <w:noBreakHyphen/>
        <w:t>like replacement of windows and external doors with wooden units matching the existing designs.</w:t>
      </w:r>
    </w:p>
    <w:p w14:paraId="6AF081C4" w14:textId="77777777" w:rsidR="001A6D65" w:rsidRPr="001A6D65" w:rsidRDefault="001A6D65" w:rsidP="001A6D65">
      <w:pPr>
        <w:numPr>
          <w:ilvl w:val="0"/>
          <w:numId w:val="6"/>
        </w:numPr>
      </w:pPr>
      <w:r w:rsidRPr="001A6D65">
        <w:t>No alteration to external walls or façade materials.</w:t>
      </w:r>
    </w:p>
    <w:p w14:paraId="27AF1BAA" w14:textId="77777777" w:rsidR="001A6D65" w:rsidRPr="001A6D65" w:rsidRDefault="001A6D65" w:rsidP="001A6D65">
      <w:pPr>
        <w:numPr>
          <w:ilvl w:val="0"/>
          <w:numId w:val="6"/>
        </w:numPr>
      </w:pPr>
      <w:r w:rsidRPr="001A6D65">
        <w:t>Removal of the partition wall between the two kitchens to create a single kitchen/dining space.</w:t>
      </w:r>
    </w:p>
    <w:p w14:paraId="03C50C1F" w14:textId="77777777" w:rsidR="001A6D65" w:rsidRPr="001A6D65" w:rsidRDefault="001A6D65" w:rsidP="001A6D65">
      <w:pPr>
        <w:numPr>
          <w:ilvl w:val="0"/>
          <w:numId w:val="6"/>
        </w:numPr>
      </w:pPr>
      <w:r w:rsidRPr="001A6D65">
        <w:t>Internal reconfiguration to improve usability while remaining sympathetic to historic layout.</w:t>
      </w:r>
    </w:p>
    <w:p w14:paraId="396EC00D" w14:textId="77777777" w:rsidR="001A6D65" w:rsidRPr="001A6D65" w:rsidRDefault="001A6D65" w:rsidP="001A6D65">
      <w:pPr>
        <w:numPr>
          <w:ilvl w:val="0"/>
          <w:numId w:val="6"/>
        </w:numPr>
      </w:pPr>
      <w:r w:rsidRPr="001A6D65">
        <w:t>Electrical rewire, replumbing, and installation of modern central heating to current standards.</w:t>
      </w:r>
    </w:p>
    <w:p w14:paraId="68CA94CD" w14:textId="77777777" w:rsidR="001A6D65" w:rsidRPr="001A6D65" w:rsidRDefault="001A6D65" w:rsidP="001A6D65">
      <w:r w:rsidRPr="001A6D65">
        <w:pict w14:anchorId="1EE6337A">
          <v:rect id="_x0000_i1064" style="width:0;height:1.5pt" o:hralign="center" o:hrstd="t" o:hr="t" fillcolor="#a0a0a0" stroked="f"/>
        </w:pict>
      </w:r>
    </w:p>
    <w:p w14:paraId="3EBB73C2" w14:textId="77777777" w:rsidR="001A6D65" w:rsidRPr="001A6D65" w:rsidRDefault="001A6D65" w:rsidP="001A6D65">
      <w:pPr>
        <w:rPr>
          <w:b/>
          <w:bCs/>
        </w:rPr>
      </w:pPr>
      <w:r w:rsidRPr="001A6D65">
        <w:rPr>
          <w:b/>
          <w:bCs/>
        </w:rPr>
        <w:t>5. Assessment of Heritage Impact</w:t>
      </w:r>
    </w:p>
    <w:p w14:paraId="3854B9E9" w14:textId="77777777" w:rsidR="001A6D65" w:rsidRPr="001A6D65" w:rsidRDefault="001A6D65" w:rsidP="001A6D65">
      <w:pPr>
        <w:rPr>
          <w:b/>
          <w:bCs/>
        </w:rPr>
      </w:pPr>
      <w:r w:rsidRPr="001A6D65">
        <w:rPr>
          <w:b/>
          <w:bCs/>
        </w:rPr>
        <w:t>5.1 External Impacts</w:t>
      </w:r>
    </w:p>
    <w:p w14:paraId="256CF0B8" w14:textId="77777777" w:rsidR="001A6D65" w:rsidRPr="001A6D65" w:rsidRDefault="001A6D65" w:rsidP="001A6D65">
      <w:pPr>
        <w:numPr>
          <w:ilvl w:val="0"/>
          <w:numId w:val="7"/>
        </w:numPr>
      </w:pPr>
      <w:r w:rsidRPr="001A6D65">
        <w:t>Neutral to Positive Impact – The replacement windows and doors will be timber and match existing proportions. No historic masonry will be altered.</w:t>
      </w:r>
    </w:p>
    <w:p w14:paraId="5F5B8AD9" w14:textId="77777777" w:rsidR="001A6D65" w:rsidRPr="001A6D65" w:rsidRDefault="001A6D65" w:rsidP="001A6D65">
      <w:pPr>
        <w:numPr>
          <w:ilvl w:val="0"/>
          <w:numId w:val="7"/>
        </w:numPr>
      </w:pPr>
      <w:r w:rsidRPr="001A6D65">
        <w:t>The building’s external character and contribution to the streetscape remain unaffected.</w:t>
      </w:r>
    </w:p>
    <w:p w14:paraId="55EA9606" w14:textId="77777777" w:rsidR="001A6D65" w:rsidRPr="001A6D65" w:rsidRDefault="001A6D65" w:rsidP="001A6D65">
      <w:pPr>
        <w:rPr>
          <w:b/>
          <w:bCs/>
        </w:rPr>
      </w:pPr>
      <w:r w:rsidRPr="001A6D65">
        <w:rPr>
          <w:b/>
          <w:bCs/>
        </w:rPr>
        <w:t>5.2 Internal Impacts</w:t>
      </w:r>
    </w:p>
    <w:p w14:paraId="238A534D" w14:textId="77777777" w:rsidR="001A6D65" w:rsidRPr="001A6D65" w:rsidRDefault="001A6D65" w:rsidP="001A6D65">
      <w:pPr>
        <w:numPr>
          <w:ilvl w:val="0"/>
          <w:numId w:val="8"/>
        </w:numPr>
      </w:pPr>
      <w:r w:rsidRPr="001A6D65">
        <w:t>Low Impact – Internal works affect only non</w:t>
      </w:r>
      <w:r w:rsidRPr="001A6D65">
        <w:noBreakHyphen/>
        <w:t>original partitioning.</w:t>
      </w:r>
    </w:p>
    <w:p w14:paraId="0CAA72C3" w14:textId="77777777" w:rsidR="001A6D65" w:rsidRPr="001A6D65" w:rsidRDefault="001A6D65" w:rsidP="001A6D65">
      <w:pPr>
        <w:numPr>
          <w:ilvl w:val="0"/>
          <w:numId w:val="8"/>
        </w:numPr>
      </w:pPr>
      <w:r w:rsidRPr="001A6D65">
        <w:t>Removal of the kitchen partition allows improvement of layout without impacting historic structural fabric.</w:t>
      </w:r>
    </w:p>
    <w:p w14:paraId="020168C1" w14:textId="77777777" w:rsidR="001A6D65" w:rsidRPr="001A6D65" w:rsidRDefault="001A6D65" w:rsidP="001A6D65">
      <w:pPr>
        <w:numPr>
          <w:ilvl w:val="0"/>
          <w:numId w:val="8"/>
        </w:numPr>
      </w:pPr>
      <w:r w:rsidRPr="001A6D65">
        <w:lastRenderedPageBreak/>
        <w:t>Modern services upgrades involve minimal disruption and do not affect significant interior features.</w:t>
      </w:r>
    </w:p>
    <w:p w14:paraId="0B1C5349" w14:textId="77777777" w:rsidR="001A6D65" w:rsidRPr="001A6D65" w:rsidRDefault="001A6D65" w:rsidP="001A6D65">
      <w:pPr>
        <w:rPr>
          <w:b/>
          <w:bCs/>
        </w:rPr>
      </w:pPr>
      <w:r w:rsidRPr="001A6D65">
        <w:rPr>
          <w:b/>
          <w:bCs/>
        </w:rPr>
        <w:t>5.3 Overall Impact</w:t>
      </w:r>
    </w:p>
    <w:p w14:paraId="58B3E093" w14:textId="77777777" w:rsidR="001A6D65" w:rsidRPr="001A6D65" w:rsidRDefault="001A6D65" w:rsidP="001A6D65">
      <w:r w:rsidRPr="001A6D65">
        <w:t>The proposals:</w:t>
      </w:r>
    </w:p>
    <w:p w14:paraId="07BB5C0F" w14:textId="77777777" w:rsidR="001A6D65" w:rsidRPr="001A6D65" w:rsidRDefault="001A6D65" w:rsidP="001A6D65">
      <w:pPr>
        <w:numPr>
          <w:ilvl w:val="0"/>
          <w:numId w:val="9"/>
        </w:numPr>
      </w:pPr>
      <w:r w:rsidRPr="001A6D65">
        <w:t>Preserve the building’s architectural integrity.</w:t>
      </w:r>
    </w:p>
    <w:p w14:paraId="39C76EE3" w14:textId="77777777" w:rsidR="001A6D65" w:rsidRPr="001A6D65" w:rsidRDefault="001A6D65" w:rsidP="001A6D65">
      <w:pPr>
        <w:numPr>
          <w:ilvl w:val="0"/>
          <w:numId w:val="9"/>
        </w:numPr>
      </w:pPr>
      <w:r w:rsidRPr="001A6D65">
        <w:t>Improve functionality without loss of significant historic fabric.</w:t>
      </w:r>
    </w:p>
    <w:p w14:paraId="32F5C039" w14:textId="77777777" w:rsidR="001A6D65" w:rsidRPr="001A6D65" w:rsidRDefault="001A6D65" w:rsidP="001A6D65">
      <w:pPr>
        <w:numPr>
          <w:ilvl w:val="0"/>
          <w:numId w:val="9"/>
        </w:numPr>
      </w:pPr>
      <w:r w:rsidRPr="001A6D65">
        <w:t>Support the long</w:t>
      </w:r>
      <w:r w:rsidRPr="001A6D65">
        <w:noBreakHyphen/>
        <w:t>term use and conservation of the building.</w:t>
      </w:r>
    </w:p>
    <w:p w14:paraId="18DC28AB" w14:textId="77777777" w:rsidR="001A6D65" w:rsidRPr="001A6D65" w:rsidRDefault="001A6D65" w:rsidP="001A6D65">
      <w:r w:rsidRPr="001A6D65">
        <w:t>The scheme constitutes no harm under NPPF terminology.</w:t>
      </w:r>
    </w:p>
    <w:p w14:paraId="5110F96B" w14:textId="77777777" w:rsidR="001A6D65" w:rsidRPr="001A6D65" w:rsidRDefault="001A6D65" w:rsidP="001A6D65">
      <w:r w:rsidRPr="001A6D65">
        <w:pict w14:anchorId="0051A1F8">
          <v:rect id="_x0000_i1065" style="width:0;height:1.5pt" o:hralign="center" o:hrstd="t" o:hr="t" fillcolor="#a0a0a0" stroked="f"/>
        </w:pict>
      </w:r>
    </w:p>
    <w:p w14:paraId="133D5AC9" w14:textId="77777777" w:rsidR="001A6D65" w:rsidRPr="001A6D65" w:rsidRDefault="001A6D65" w:rsidP="001A6D65">
      <w:pPr>
        <w:rPr>
          <w:b/>
          <w:bCs/>
        </w:rPr>
      </w:pPr>
      <w:r w:rsidRPr="001A6D65">
        <w:rPr>
          <w:b/>
          <w:bCs/>
        </w:rPr>
        <w:t>6. Justification for Proposed Works</w:t>
      </w:r>
    </w:p>
    <w:p w14:paraId="33D08D7D" w14:textId="77777777" w:rsidR="001A6D65" w:rsidRPr="001A6D65" w:rsidRDefault="001A6D65" w:rsidP="001A6D65">
      <w:r w:rsidRPr="001A6D65">
        <w:t>The proposals are justified on the following grounds:</w:t>
      </w:r>
    </w:p>
    <w:p w14:paraId="62D0BE4A" w14:textId="77777777" w:rsidR="001A6D65" w:rsidRPr="001A6D65" w:rsidRDefault="001A6D65" w:rsidP="001A6D65">
      <w:pPr>
        <w:numPr>
          <w:ilvl w:val="0"/>
          <w:numId w:val="10"/>
        </w:numPr>
      </w:pPr>
      <w:r w:rsidRPr="001A6D65">
        <w:t>Conservation of Character – External appearance remains unchanged; timber joinery is retained.</w:t>
      </w:r>
    </w:p>
    <w:p w14:paraId="7D20FA77" w14:textId="77777777" w:rsidR="001A6D65" w:rsidRPr="001A6D65" w:rsidRDefault="001A6D65" w:rsidP="001A6D65">
      <w:pPr>
        <w:numPr>
          <w:ilvl w:val="0"/>
          <w:numId w:val="10"/>
        </w:numPr>
      </w:pPr>
      <w:r w:rsidRPr="001A6D65">
        <w:t>Building Functionality – Internal changes improve liveability in a way that supports sustained use.</w:t>
      </w:r>
    </w:p>
    <w:p w14:paraId="7535A269" w14:textId="77777777" w:rsidR="001A6D65" w:rsidRPr="001A6D65" w:rsidRDefault="001A6D65" w:rsidP="001A6D65">
      <w:pPr>
        <w:numPr>
          <w:ilvl w:val="0"/>
          <w:numId w:val="10"/>
        </w:numPr>
      </w:pPr>
      <w:r w:rsidRPr="001A6D65">
        <w:t>Building Safety and Efficiency – Upgrading wiring, heating, and plumbing ensures the building remains habitable and compliant with modern standards.</w:t>
      </w:r>
    </w:p>
    <w:p w14:paraId="25A487AA" w14:textId="77777777" w:rsidR="001A6D65" w:rsidRPr="001A6D65" w:rsidRDefault="001A6D65" w:rsidP="001A6D65">
      <w:pPr>
        <w:numPr>
          <w:ilvl w:val="0"/>
          <w:numId w:val="10"/>
        </w:numPr>
      </w:pPr>
      <w:r w:rsidRPr="001A6D65">
        <w:t>Minimal Heritage Impact – Works avoid loss of historic fabric and are largely reversible.</w:t>
      </w:r>
    </w:p>
    <w:p w14:paraId="33F53F6D" w14:textId="77777777" w:rsidR="001A6D65" w:rsidRPr="001A6D65" w:rsidRDefault="001A6D65" w:rsidP="001A6D65">
      <w:r w:rsidRPr="001A6D65">
        <w:t>These factors ensure compliance with Local Plan Policy P2 and NPPF Section 16.</w:t>
      </w:r>
    </w:p>
    <w:p w14:paraId="628F1B0D" w14:textId="77777777" w:rsidR="001A6D65" w:rsidRPr="001A6D65" w:rsidRDefault="001A6D65" w:rsidP="001A6D65">
      <w:r w:rsidRPr="001A6D65">
        <w:pict w14:anchorId="56BF67FB">
          <v:rect id="_x0000_i1066" style="width:0;height:1.5pt" o:hralign="center" o:hrstd="t" o:hr="t" fillcolor="#a0a0a0" stroked="f"/>
        </w:pict>
      </w:r>
    </w:p>
    <w:p w14:paraId="270DB57D" w14:textId="77777777" w:rsidR="001A6D65" w:rsidRPr="001A6D65" w:rsidRDefault="001A6D65" w:rsidP="001A6D65">
      <w:pPr>
        <w:rPr>
          <w:b/>
          <w:bCs/>
        </w:rPr>
      </w:pPr>
      <w:r w:rsidRPr="001A6D65">
        <w:rPr>
          <w:b/>
          <w:bCs/>
        </w:rPr>
        <w:t>7. Conclusion</w:t>
      </w:r>
    </w:p>
    <w:p w14:paraId="53F8483D" w14:textId="77777777" w:rsidR="001A6D65" w:rsidRPr="001A6D65" w:rsidRDefault="001A6D65" w:rsidP="001A6D65">
      <w:r w:rsidRPr="001A6D65">
        <w:t>The proposed renovation of Carbrook House is a heritage</w:t>
      </w:r>
      <w:r w:rsidRPr="001A6D65">
        <w:noBreakHyphen/>
        <w:t>sensitive scheme that:</w:t>
      </w:r>
    </w:p>
    <w:p w14:paraId="76F81F1A" w14:textId="77777777" w:rsidR="001A6D65" w:rsidRPr="001A6D65" w:rsidRDefault="001A6D65" w:rsidP="001A6D65">
      <w:pPr>
        <w:numPr>
          <w:ilvl w:val="0"/>
          <w:numId w:val="11"/>
        </w:numPr>
      </w:pPr>
      <w:r w:rsidRPr="001A6D65">
        <w:t>Conserves and respects the architectural and historic significance of the building.</w:t>
      </w:r>
    </w:p>
    <w:p w14:paraId="27CE2B92" w14:textId="77777777" w:rsidR="001A6D65" w:rsidRPr="001A6D65" w:rsidRDefault="001A6D65" w:rsidP="001A6D65">
      <w:pPr>
        <w:numPr>
          <w:ilvl w:val="0"/>
          <w:numId w:val="11"/>
        </w:numPr>
      </w:pPr>
      <w:r w:rsidRPr="001A6D65">
        <w:t>Results in no harm to its identified heritage values.</w:t>
      </w:r>
    </w:p>
    <w:p w14:paraId="2B6A5516" w14:textId="77777777" w:rsidR="001A6D65" w:rsidRPr="001A6D65" w:rsidRDefault="001A6D65" w:rsidP="001A6D65">
      <w:pPr>
        <w:numPr>
          <w:ilvl w:val="0"/>
          <w:numId w:val="11"/>
        </w:numPr>
      </w:pPr>
      <w:r w:rsidRPr="001A6D65">
        <w:t>Enhances the building’s long</w:t>
      </w:r>
      <w:r w:rsidRPr="001A6D65">
        <w:noBreakHyphen/>
        <w:t>term sustainability and continued occupation.</w:t>
      </w:r>
    </w:p>
    <w:p w14:paraId="294EE6B0" w14:textId="77777777" w:rsidR="001A6D65" w:rsidRPr="001A6D65" w:rsidRDefault="001A6D65" w:rsidP="001A6D65">
      <w:r w:rsidRPr="001A6D65">
        <w:t>Overall, the project represents an appropriate and justified level of intervention consistent with good heritage practice and local planning policy.</w:t>
      </w:r>
    </w:p>
    <w:p w14:paraId="19548F01" w14:textId="77777777" w:rsidR="001A6D65" w:rsidRDefault="001A6D65"/>
    <w:sectPr w:rsidR="001A6D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4798"/>
    <w:multiLevelType w:val="multilevel"/>
    <w:tmpl w:val="BE86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D563D"/>
    <w:multiLevelType w:val="multilevel"/>
    <w:tmpl w:val="6F46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F1E21"/>
    <w:multiLevelType w:val="multilevel"/>
    <w:tmpl w:val="1DD0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0761B"/>
    <w:multiLevelType w:val="multilevel"/>
    <w:tmpl w:val="94A8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604EE"/>
    <w:multiLevelType w:val="multilevel"/>
    <w:tmpl w:val="9A3E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B6D69"/>
    <w:multiLevelType w:val="multilevel"/>
    <w:tmpl w:val="3088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55D21"/>
    <w:multiLevelType w:val="multilevel"/>
    <w:tmpl w:val="2766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F4758C"/>
    <w:multiLevelType w:val="multilevel"/>
    <w:tmpl w:val="ACE2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F77DA8"/>
    <w:multiLevelType w:val="multilevel"/>
    <w:tmpl w:val="DF92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9C4620"/>
    <w:multiLevelType w:val="multilevel"/>
    <w:tmpl w:val="F5CE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565D4A"/>
    <w:multiLevelType w:val="multilevel"/>
    <w:tmpl w:val="7916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548139">
    <w:abstractNumId w:val="4"/>
  </w:num>
  <w:num w:numId="2" w16cid:durableId="919679149">
    <w:abstractNumId w:val="10"/>
  </w:num>
  <w:num w:numId="3" w16cid:durableId="896479962">
    <w:abstractNumId w:val="3"/>
  </w:num>
  <w:num w:numId="4" w16cid:durableId="512376282">
    <w:abstractNumId w:val="0"/>
  </w:num>
  <w:num w:numId="5" w16cid:durableId="806241710">
    <w:abstractNumId w:val="1"/>
  </w:num>
  <w:num w:numId="6" w16cid:durableId="2041011975">
    <w:abstractNumId w:val="9"/>
  </w:num>
  <w:num w:numId="7" w16cid:durableId="800727169">
    <w:abstractNumId w:val="8"/>
  </w:num>
  <w:num w:numId="8" w16cid:durableId="914512218">
    <w:abstractNumId w:val="5"/>
  </w:num>
  <w:num w:numId="9" w16cid:durableId="1205751407">
    <w:abstractNumId w:val="2"/>
  </w:num>
  <w:num w:numId="10" w16cid:durableId="1462728045">
    <w:abstractNumId w:val="6"/>
  </w:num>
  <w:num w:numId="11" w16cid:durableId="2024161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65"/>
    <w:rsid w:val="001A6D65"/>
    <w:rsid w:val="00A91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33CD"/>
  <w15:chartTrackingRefBased/>
  <w15:docId w15:val="{EC9EA839-F5C3-49F7-89E6-44C65EF82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65"/>
    <w:rPr>
      <w:rFonts w:eastAsiaTheme="majorEastAsia" w:cstheme="majorBidi"/>
      <w:color w:val="272727" w:themeColor="text1" w:themeTint="D8"/>
    </w:rPr>
  </w:style>
  <w:style w:type="paragraph" w:styleId="Title">
    <w:name w:val="Title"/>
    <w:basedOn w:val="Normal"/>
    <w:next w:val="Normal"/>
    <w:link w:val="TitleChar"/>
    <w:uiPriority w:val="10"/>
    <w:qFormat/>
    <w:rsid w:val="001A6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65"/>
    <w:pPr>
      <w:spacing w:before="160"/>
      <w:jc w:val="center"/>
    </w:pPr>
    <w:rPr>
      <w:i/>
      <w:iCs/>
      <w:color w:val="404040" w:themeColor="text1" w:themeTint="BF"/>
    </w:rPr>
  </w:style>
  <w:style w:type="character" w:customStyle="1" w:styleId="QuoteChar">
    <w:name w:val="Quote Char"/>
    <w:basedOn w:val="DefaultParagraphFont"/>
    <w:link w:val="Quote"/>
    <w:uiPriority w:val="29"/>
    <w:rsid w:val="001A6D65"/>
    <w:rPr>
      <w:i/>
      <w:iCs/>
      <w:color w:val="404040" w:themeColor="text1" w:themeTint="BF"/>
    </w:rPr>
  </w:style>
  <w:style w:type="paragraph" w:styleId="ListParagraph">
    <w:name w:val="List Paragraph"/>
    <w:basedOn w:val="Normal"/>
    <w:uiPriority w:val="34"/>
    <w:qFormat/>
    <w:rsid w:val="001A6D65"/>
    <w:pPr>
      <w:ind w:left="720"/>
      <w:contextualSpacing/>
    </w:pPr>
  </w:style>
  <w:style w:type="character" w:styleId="IntenseEmphasis">
    <w:name w:val="Intense Emphasis"/>
    <w:basedOn w:val="DefaultParagraphFont"/>
    <w:uiPriority w:val="21"/>
    <w:qFormat/>
    <w:rsid w:val="001A6D65"/>
    <w:rPr>
      <w:i/>
      <w:iCs/>
      <w:color w:val="0F4761" w:themeColor="accent1" w:themeShade="BF"/>
    </w:rPr>
  </w:style>
  <w:style w:type="paragraph" w:styleId="IntenseQuote">
    <w:name w:val="Intense Quote"/>
    <w:basedOn w:val="Normal"/>
    <w:next w:val="Normal"/>
    <w:link w:val="IntenseQuoteChar"/>
    <w:uiPriority w:val="30"/>
    <w:qFormat/>
    <w:rsid w:val="001A6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65"/>
    <w:rPr>
      <w:i/>
      <w:iCs/>
      <w:color w:val="0F4761" w:themeColor="accent1" w:themeShade="BF"/>
    </w:rPr>
  </w:style>
  <w:style w:type="character" w:styleId="IntenseReference">
    <w:name w:val="Intense Reference"/>
    <w:basedOn w:val="DefaultParagraphFont"/>
    <w:uiPriority w:val="32"/>
    <w:qFormat/>
    <w:rsid w:val="001A6D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593</Words>
  <Characters>3833</Characters>
  <Application>Microsoft Office Word</Application>
  <DocSecurity>0</DocSecurity>
  <Lines>91</Lines>
  <Paragraphs>66</Paragraphs>
  <ScaleCrop>false</ScaleCrop>
  <Company>Greater Manchester Combined Authority</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Simms Soumelidis Michael</dc:creator>
  <cp:keywords/>
  <dc:description/>
  <cp:lastModifiedBy>Simms Soumelidis Michael</cp:lastModifiedBy>
  <cp:revision>1</cp:revision>
  <dcterms:created xsi:type="dcterms:W3CDTF">2026-01-13T22:46:00Z</dcterms:created>
  <dcterms:modified xsi:type="dcterms:W3CDTF">2026-01-13T22:49:00Z</dcterms:modified>
</cp:coreProperties>
</file>