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AC815" w14:textId="4EDBA41E" w:rsidR="00BA7D1F" w:rsidRDefault="00910797" w:rsidP="00BA7D1F">
      <w:pPr>
        <w:spacing w:line="360" w:lineRule="auto"/>
        <w:rPr>
          <w:b/>
          <w:bCs/>
        </w:rPr>
      </w:pPr>
      <w:r>
        <w:rPr>
          <w:b/>
          <w:bCs/>
        </w:rPr>
        <w:t>Full application</w:t>
      </w:r>
      <w:r w:rsidR="00BA7D1F">
        <w:rPr>
          <w:b/>
          <w:bCs/>
        </w:rPr>
        <w:t xml:space="preserve"> for a</w:t>
      </w:r>
      <w:r w:rsidR="00115304">
        <w:rPr>
          <w:b/>
          <w:bCs/>
        </w:rPr>
        <w:t xml:space="preserve"> detached</w:t>
      </w:r>
      <w:r w:rsidR="00BA7D1F">
        <w:rPr>
          <w:b/>
          <w:bCs/>
        </w:rPr>
        <w:t xml:space="preserve"> dwelling at the existing cabin  known as </w:t>
      </w:r>
      <w:r w:rsidR="00EE4F39">
        <w:rPr>
          <w:b/>
          <w:bCs/>
        </w:rPr>
        <w:t xml:space="preserve">   </w:t>
      </w:r>
      <w:r w:rsidR="00115304">
        <w:rPr>
          <w:b/>
          <w:bCs/>
        </w:rPr>
        <w:t xml:space="preserve"> </w:t>
      </w:r>
      <w:r w:rsidR="00EE4F39">
        <w:rPr>
          <w:b/>
          <w:bCs/>
        </w:rPr>
        <w:t xml:space="preserve">  </w:t>
      </w:r>
      <w:r w:rsidR="00BA7D1F">
        <w:rPr>
          <w:b/>
          <w:bCs/>
        </w:rPr>
        <w:t xml:space="preserve"> Summit Cabin, adj. Salley Street, Calderbrook Road. Littleborough OL15 9NG</w:t>
      </w:r>
    </w:p>
    <w:p w14:paraId="470A85E6" w14:textId="32FDD888" w:rsidR="00BA7D1F" w:rsidRDefault="00BA7D1F" w:rsidP="00BA7D1F">
      <w:pPr>
        <w:spacing w:line="360" w:lineRule="auto"/>
      </w:pPr>
      <w:r>
        <w:t>Part Retrospective</w:t>
      </w:r>
    </w:p>
    <w:p w14:paraId="79BFB233" w14:textId="77777777" w:rsidR="00BA7D1F" w:rsidRDefault="00BA7D1F" w:rsidP="00BA7D1F">
      <w:pPr>
        <w:spacing w:line="360" w:lineRule="auto"/>
      </w:pPr>
    </w:p>
    <w:p w14:paraId="4A245313" w14:textId="75993490" w:rsidR="00BA7D1F" w:rsidRDefault="00BA7D1F" w:rsidP="00BA7D1F">
      <w:r>
        <w:rPr>
          <w:noProof/>
        </w:rPr>
        <w:drawing>
          <wp:inline distT="0" distB="0" distL="0" distR="0" wp14:anchorId="6BB88C49" wp14:editId="59B0FAFA">
            <wp:extent cx="4097655" cy="3073400"/>
            <wp:effectExtent l="0" t="0" r="0" b="0"/>
            <wp:docPr id="457048110" name="Picture 1" descr="afb221ae-b639-4915-bb24-aea3ce66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221ae-b639-4915-bb24-aea3ce6658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7655" cy="3073400"/>
                    </a:xfrm>
                    <a:prstGeom prst="rect">
                      <a:avLst/>
                    </a:prstGeom>
                    <a:noFill/>
                    <a:ln>
                      <a:noFill/>
                    </a:ln>
                  </pic:spPr>
                </pic:pic>
              </a:graphicData>
            </a:graphic>
          </wp:inline>
        </w:drawing>
      </w:r>
    </w:p>
    <w:p w14:paraId="6E93E62D" w14:textId="77777777" w:rsidR="00BA7D1F" w:rsidRDefault="00BA7D1F" w:rsidP="00BA7D1F"/>
    <w:p w14:paraId="3AF24A3A" w14:textId="77777777" w:rsidR="00BA7D1F" w:rsidRDefault="00BA7D1F" w:rsidP="00BA7D1F">
      <w:pPr>
        <w:rPr>
          <w:rFonts w:ascii="Tahoma" w:hAnsi="Tahoma" w:cs="Tahoma"/>
          <w:color w:val="000000"/>
        </w:rPr>
      </w:pPr>
    </w:p>
    <w:tbl>
      <w:tblPr>
        <w:tblW w:w="0" w:type="auto"/>
        <w:jc w:val="center"/>
        <w:tblLayout w:type="fixed"/>
        <w:tblCellMar>
          <w:top w:w="55" w:type="dxa"/>
          <w:left w:w="55" w:type="dxa"/>
          <w:bottom w:w="55" w:type="dxa"/>
          <w:right w:w="55" w:type="dxa"/>
        </w:tblCellMar>
        <w:tblLook w:val="04A0" w:firstRow="1" w:lastRow="0" w:firstColumn="1" w:lastColumn="0" w:noHBand="0" w:noVBand="1"/>
      </w:tblPr>
      <w:tblGrid>
        <w:gridCol w:w="409"/>
        <w:gridCol w:w="475"/>
      </w:tblGrid>
      <w:tr w:rsidR="00BA7D1F" w14:paraId="16B02C39" w14:textId="77777777">
        <w:trPr>
          <w:tblHeader/>
          <w:jc w:val="center"/>
        </w:trPr>
        <w:tc>
          <w:tcPr>
            <w:tcW w:w="409" w:type="dxa"/>
            <w:tcBorders>
              <w:top w:val="single" w:sz="2" w:space="0" w:color="000000"/>
              <w:left w:val="single" w:sz="2" w:space="0" w:color="000000"/>
              <w:bottom w:val="single" w:sz="2" w:space="0" w:color="000000"/>
              <w:right w:val="nil"/>
            </w:tcBorders>
            <w:hideMark/>
          </w:tcPr>
          <w:p w14:paraId="7C1672E6" w14:textId="77777777" w:rsidR="00BA7D1F" w:rsidRDefault="00BA7D1F">
            <w:pPr>
              <w:pStyle w:val="TableHeading"/>
              <w:shd w:val="clear" w:color="auto" w:fill="FF0000"/>
              <w:snapToGrid w:val="0"/>
              <w:jc w:val="right"/>
              <w:rPr>
                <w:rFonts w:ascii="Arial" w:hAnsi="Arial" w:cs="Tahoma"/>
                <w:i w:val="0"/>
                <w:iCs w:val="0"/>
              </w:rPr>
            </w:pPr>
            <w:r>
              <w:rPr>
                <w:rFonts w:cs="Tahoma"/>
                <w:i w:val="0"/>
                <w:iCs w:val="0"/>
              </w:rPr>
              <w:t>H</w:t>
            </w:r>
          </w:p>
        </w:tc>
        <w:tc>
          <w:tcPr>
            <w:tcW w:w="475" w:type="dxa"/>
            <w:tcBorders>
              <w:top w:val="single" w:sz="2" w:space="0" w:color="000000"/>
              <w:left w:val="single" w:sz="2" w:space="0" w:color="000000"/>
              <w:bottom w:val="single" w:sz="2" w:space="0" w:color="000000"/>
              <w:right w:val="single" w:sz="2" w:space="0" w:color="000000"/>
            </w:tcBorders>
            <w:hideMark/>
          </w:tcPr>
          <w:p w14:paraId="0442EDF9" w14:textId="77777777" w:rsidR="00BA7D1F" w:rsidRDefault="00BA7D1F">
            <w:pPr>
              <w:pStyle w:val="TableHeading"/>
              <w:shd w:val="clear" w:color="auto" w:fill="FFFF00"/>
              <w:snapToGrid w:val="0"/>
              <w:jc w:val="right"/>
              <w:rPr>
                <w:rFonts w:cs="Tahoma"/>
                <w:i w:val="0"/>
                <w:iCs w:val="0"/>
              </w:rPr>
            </w:pPr>
            <w:r>
              <w:rPr>
                <w:rFonts w:cs="Tahoma"/>
                <w:i w:val="0"/>
                <w:iCs w:val="0"/>
              </w:rPr>
              <w:t>P</w:t>
            </w:r>
          </w:p>
        </w:tc>
      </w:tr>
      <w:tr w:rsidR="00BA7D1F" w14:paraId="0C056DB6" w14:textId="77777777">
        <w:trPr>
          <w:trHeight w:val="174"/>
          <w:jc w:val="center"/>
        </w:trPr>
        <w:tc>
          <w:tcPr>
            <w:tcW w:w="409" w:type="dxa"/>
            <w:tcBorders>
              <w:top w:val="nil"/>
              <w:left w:val="single" w:sz="2" w:space="0" w:color="000000"/>
              <w:bottom w:val="single" w:sz="2" w:space="0" w:color="000000"/>
              <w:right w:val="nil"/>
            </w:tcBorders>
            <w:hideMark/>
          </w:tcPr>
          <w:p w14:paraId="7F9D341C" w14:textId="77777777" w:rsidR="00BA7D1F" w:rsidRDefault="00BA7D1F">
            <w:pPr>
              <w:pStyle w:val="TableContents"/>
              <w:shd w:val="clear" w:color="auto" w:fill="0000FF"/>
              <w:snapToGrid w:val="0"/>
              <w:jc w:val="right"/>
              <w:rPr>
                <w:rFonts w:cs="Tahoma"/>
                <w:b/>
                <w:bCs/>
              </w:rPr>
            </w:pPr>
            <w:r>
              <w:rPr>
                <w:rFonts w:cs="Tahoma"/>
                <w:b/>
                <w:bCs/>
              </w:rPr>
              <w:t>D</w:t>
            </w:r>
          </w:p>
        </w:tc>
        <w:tc>
          <w:tcPr>
            <w:tcW w:w="475" w:type="dxa"/>
            <w:tcBorders>
              <w:top w:val="nil"/>
              <w:left w:val="single" w:sz="2" w:space="0" w:color="000000"/>
              <w:bottom w:val="single" w:sz="2" w:space="0" w:color="000000"/>
              <w:right w:val="single" w:sz="2" w:space="0" w:color="000000"/>
            </w:tcBorders>
            <w:hideMark/>
          </w:tcPr>
          <w:p w14:paraId="4CE51939" w14:textId="77777777" w:rsidR="00BA7D1F" w:rsidRDefault="00BA7D1F">
            <w:pPr>
              <w:pStyle w:val="TableContents"/>
              <w:shd w:val="clear" w:color="auto" w:fill="00FF00"/>
              <w:snapToGrid w:val="0"/>
              <w:jc w:val="right"/>
              <w:rPr>
                <w:rFonts w:cs="Tahoma"/>
                <w:b/>
                <w:bCs/>
              </w:rPr>
            </w:pPr>
            <w:r>
              <w:rPr>
                <w:rFonts w:cs="Tahoma"/>
                <w:b/>
                <w:bCs/>
              </w:rPr>
              <w:t>A</w:t>
            </w:r>
          </w:p>
        </w:tc>
      </w:tr>
    </w:tbl>
    <w:p w14:paraId="474E95F7" w14:textId="77777777" w:rsidR="00BA7D1F" w:rsidRDefault="00BA7D1F" w:rsidP="00BA7D1F">
      <w:pPr>
        <w:rPr>
          <w:b/>
          <w:color w:val="000000"/>
        </w:rPr>
      </w:pPr>
    </w:p>
    <w:p w14:paraId="2CDBFD13" w14:textId="77777777" w:rsidR="00BA7D1F" w:rsidRDefault="00BA7D1F" w:rsidP="00BA7D1F">
      <w:pPr>
        <w:rPr>
          <w:b/>
          <w:color w:val="000000"/>
        </w:rPr>
      </w:pPr>
    </w:p>
    <w:p w14:paraId="0E887B4D" w14:textId="45FE9BAB" w:rsidR="00BA7D1F" w:rsidRDefault="00BA7D1F" w:rsidP="00BA7D1F">
      <w:pPr>
        <w:rPr>
          <w:b/>
          <w:color w:val="000000"/>
        </w:rPr>
      </w:pPr>
      <w:r>
        <w:rPr>
          <w:b/>
          <w:color w:val="000000"/>
        </w:rPr>
        <w:t>December 2025</w:t>
      </w:r>
    </w:p>
    <w:p w14:paraId="24EEF1B2" w14:textId="2504D945" w:rsidR="00BA7D1F" w:rsidRDefault="00935466" w:rsidP="00BA7D1F">
      <w:pPr>
        <w:rPr>
          <w:rFonts w:ascii="Tahoma" w:hAnsi="Tahoma" w:cs="Tahoma"/>
          <w:bCs/>
          <w:color w:val="EE0000"/>
        </w:rPr>
      </w:pPr>
      <w:r w:rsidRPr="00935466">
        <w:rPr>
          <w:rFonts w:ascii="Tahoma" w:hAnsi="Tahoma" w:cs="Tahoma"/>
          <w:bCs/>
          <w:color w:val="EE0000"/>
        </w:rPr>
        <w:t xml:space="preserve">Amended </w:t>
      </w:r>
      <w:r w:rsidR="006B2E33">
        <w:rPr>
          <w:rFonts w:ascii="Tahoma" w:hAnsi="Tahoma" w:cs="Tahoma"/>
          <w:bCs/>
          <w:color w:val="EE0000"/>
        </w:rPr>
        <w:t xml:space="preserve">April </w:t>
      </w:r>
      <w:r w:rsidRPr="00935466">
        <w:rPr>
          <w:rFonts w:ascii="Tahoma" w:hAnsi="Tahoma" w:cs="Tahoma"/>
          <w:bCs/>
          <w:color w:val="EE0000"/>
        </w:rPr>
        <w:t>2026</w:t>
      </w:r>
    </w:p>
    <w:p w14:paraId="435444E9" w14:textId="0E257D87" w:rsidR="00935466" w:rsidRPr="00935466" w:rsidRDefault="00935466" w:rsidP="00BA7D1F">
      <w:pPr>
        <w:rPr>
          <w:rFonts w:ascii="Tahoma" w:hAnsi="Tahoma" w:cs="Tahoma"/>
          <w:bCs/>
          <w:color w:val="EE0000"/>
        </w:rPr>
      </w:pPr>
      <w:r>
        <w:rPr>
          <w:rFonts w:ascii="Tahoma" w:hAnsi="Tahoma" w:cs="Tahoma"/>
          <w:bCs/>
          <w:color w:val="EE0000"/>
        </w:rPr>
        <w:t>Ref:DC</w:t>
      </w:r>
      <w:r w:rsidR="00D42ACE">
        <w:rPr>
          <w:rFonts w:ascii="Tahoma" w:hAnsi="Tahoma" w:cs="Tahoma"/>
          <w:bCs/>
          <w:color w:val="EE0000"/>
        </w:rPr>
        <w:t>.140326.A</w:t>
      </w:r>
    </w:p>
    <w:p w14:paraId="7DBB0065" w14:textId="77777777" w:rsidR="00BA7D1F" w:rsidRDefault="00BA7D1F" w:rsidP="00BA7D1F">
      <w:pPr>
        <w:rPr>
          <w:rFonts w:ascii="Tahoma" w:hAnsi="Tahoma" w:cs="Tahoma"/>
          <w:b/>
          <w:color w:val="000000"/>
        </w:rPr>
      </w:pPr>
    </w:p>
    <w:p w14:paraId="0A0B0E84" w14:textId="77777777" w:rsidR="00BA7D1F" w:rsidRDefault="00BA7D1F" w:rsidP="00BA7D1F">
      <w:pPr>
        <w:rPr>
          <w:rFonts w:ascii="Tahoma" w:hAnsi="Tahoma" w:cs="Tahoma"/>
          <w:b/>
          <w:color w:val="000000"/>
        </w:rPr>
      </w:pPr>
      <w:r>
        <w:rPr>
          <w:rFonts w:ascii="Tahoma" w:hAnsi="Tahoma" w:cs="Tahoma"/>
          <w:b/>
          <w:color w:val="000000"/>
        </w:rPr>
        <w:t>Prepared by Hartley Planning and Development Associates Ltd</w:t>
      </w:r>
    </w:p>
    <w:p w14:paraId="6538A01D" w14:textId="77777777" w:rsidR="00BA7D1F" w:rsidRDefault="00BA7D1F" w:rsidP="00BA7D1F">
      <w:r>
        <w:rPr>
          <w:rFonts w:ascii="Tahoma" w:hAnsi="Tahoma" w:cs="Tahoma"/>
          <w:b/>
          <w:color w:val="000000"/>
          <w:kern w:val="0"/>
        </w:rPr>
        <w:br w:type="page"/>
      </w:r>
    </w:p>
    <w:p w14:paraId="48636149" w14:textId="6BE70AF4" w:rsidR="00BA7D1F" w:rsidRDefault="00BA7D1F" w:rsidP="00BA7D1F">
      <w:pPr>
        <w:spacing w:line="360" w:lineRule="auto"/>
        <w:ind w:firstLine="0"/>
        <w:jc w:val="left"/>
      </w:pPr>
      <w:r>
        <w:lastRenderedPageBreak/>
        <w:t>The application site, known as Summit Cabin, is located between Calderbrook Road and Higher Calderbrook Road</w:t>
      </w:r>
      <w:r w:rsidR="0006061C">
        <w:t>. The building already exists</w:t>
      </w:r>
      <w:r>
        <w:t xml:space="preserve"> and </w:t>
      </w:r>
      <w:r w:rsidR="00133466">
        <w:t>has been the subject o</w:t>
      </w:r>
      <w:r w:rsidR="00F17A43">
        <w:t>f</w:t>
      </w:r>
      <w:r w:rsidR="00133466">
        <w:t xml:space="preserve"> a recent appeal</w:t>
      </w:r>
      <w:r>
        <w:t xml:space="preserve"> for </w:t>
      </w:r>
      <w:r w:rsidR="00133466">
        <w:t>its presence</w:t>
      </w:r>
      <w:r>
        <w:t xml:space="preserve"> and </w:t>
      </w:r>
      <w:r w:rsidR="00133466">
        <w:t>use</w:t>
      </w:r>
      <w:r>
        <w:t xml:space="preserve"> as a holiday let</w:t>
      </w:r>
      <w:r w:rsidR="00133466">
        <w:t xml:space="preserve"> </w:t>
      </w:r>
      <w:r w:rsidR="00057B40">
        <w:t xml:space="preserve">. </w:t>
      </w:r>
      <w:r>
        <w:t xml:space="preserve"> </w:t>
      </w:r>
    </w:p>
    <w:p w14:paraId="0DFD6A7F" w14:textId="3A018D4C" w:rsidR="00BA7D1F" w:rsidRDefault="00057B40" w:rsidP="00BA7D1F">
      <w:pPr>
        <w:spacing w:line="360" w:lineRule="auto"/>
        <w:ind w:firstLine="0"/>
        <w:jc w:val="left"/>
      </w:pPr>
      <w:r>
        <w:t>Therefore, ap</w:t>
      </w:r>
      <w:r w:rsidR="00BA7D1F">
        <w:t xml:space="preserve">plication is made retrospectively for development already constructed </w:t>
      </w:r>
      <w:r>
        <w:t>plus</w:t>
      </w:r>
      <w:r w:rsidR="00BA7D1F">
        <w:t xml:space="preserve"> for its use as a detached one bedroom dwelling. .</w:t>
      </w:r>
    </w:p>
    <w:p w14:paraId="4DEB2FD3" w14:textId="77777777" w:rsidR="00BA7D1F" w:rsidRDefault="00BA7D1F" w:rsidP="00BA7D1F">
      <w:pPr>
        <w:spacing w:line="360" w:lineRule="auto"/>
        <w:ind w:firstLine="0"/>
        <w:jc w:val="left"/>
      </w:pPr>
      <w:r>
        <w:t>Access is via a long established track leading from Calderbrook Road</w:t>
      </w:r>
    </w:p>
    <w:p w14:paraId="6DA64BAF" w14:textId="64DE1831" w:rsidR="00BA7D1F" w:rsidRDefault="00BA7D1F" w:rsidP="00BA7D1F">
      <w:pPr>
        <w:spacing w:line="360" w:lineRule="auto"/>
        <w:ind w:firstLine="0"/>
        <w:jc w:val="left"/>
      </w:pPr>
      <w:r>
        <w:t>The site is in the Green Belt</w:t>
      </w:r>
    </w:p>
    <w:p w14:paraId="3D29EF14" w14:textId="40560631" w:rsidR="003351C8" w:rsidRDefault="00BA7D1F" w:rsidP="000C06AD">
      <w:pPr>
        <w:ind w:firstLine="0"/>
        <w:jc w:val="left"/>
        <w:rPr>
          <w:b/>
          <w:bCs/>
        </w:rPr>
      </w:pPr>
      <w:r w:rsidRPr="00BA7D1F">
        <w:rPr>
          <w:b/>
          <w:bCs/>
        </w:rPr>
        <w:t>Recent history</w:t>
      </w:r>
    </w:p>
    <w:p w14:paraId="1677694F" w14:textId="02B3B907" w:rsidR="00BA7D1F" w:rsidRDefault="00FC2B82" w:rsidP="00BA7D1F">
      <w:pPr>
        <w:pStyle w:val="Default"/>
        <w:spacing w:line="360" w:lineRule="auto"/>
      </w:pPr>
      <w:r w:rsidRPr="000C06AD">
        <w:t>Application</w:t>
      </w:r>
      <w:r w:rsidR="00BA7D1F" w:rsidRPr="000C06AD">
        <w:t xml:space="preserve"> reference</w:t>
      </w:r>
      <w:r w:rsidR="00BA7D1F" w:rsidRPr="00BA7D1F">
        <w:rPr>
          <w:b/>
          <w:bCs/>
        </w:rPr>
        <w:t xml:space="preserve">  </w:t>
      </w:r>
      <w:r w:rsidR="00BA7D1F" w:rsidRPr="00BA7D1F">
        <w:t>24/00692/FUL, for the erection of a detached building for use as holiday let accommodation, the installation of an underground septic tank and associated landscaping works was dismissed on appeal dated 4 September 2025</w:t>
      </w:r>
      <w:r w:rsidR="00BA7D1F" w:rsidRPr="00BA7D1F">
        <w:rPr>
          <w:rStyle w:val="FootnoteReference"/>
        </w:rPr>
        <w:footnoteReference w:id="1"/>
      </w:r>
      <w:r w:rsidR="00BA7D1F" w:rsidRPr="00BA7D1F">
        <w:t xml:space="preserve">. </w:t>
      </w:r>
    </w:p>
    <w:p w14:paraId="6B113905" w14:textId="1EFC2295" w:rsidR="00BA7D1F" w:rsidRDefault="00BA7D1F" w:rsidP="00BA7D1F">
      <w:pPr>
        <w:pStyle w:val="Default"/>
        <w:spacing w:line="360" w:lineRule="auto"/>
      </w:pPr>
      <w:r>
        <w:t xml:space="preserve">The </w:t>
      </w:r>
      <w:r w:rsidR="000C06AD">
        <w:t>appeal was p</w:t>
      </w:r>
      <w:r w:rsidR="0006227E">
        <w:t>a</w:t>
      </w:r>
      <w:r w:rsidR="000C06AD">
        <w:t xml:space="preserve">rt retrospective as the </w:t>
      </w:r>
      <w:r w:rsidR="00FC2B82">
        <w:t>cabin</w:t>
      </w:r>
      <w:r w:rsidR="000C06AD">
        <w:t xml:space="preserve"> had already been constructed.</w:t>
      </w:r>
    </w:p>
    <w:p w14:paraId="2F359FDE" w14:textId="13749B18" w:rsidR="00FC2B82" w:rsidRDefault="000C06AD" w:rsidP="000C06AD">
      <w:pPr>
        <w:pStyle w:val="Default"/>
        <w:spacing w:line="360" w:lineRule="auto"/>
      </w:pPr>
      <w:r>
        <w:t xml:space="preserve">The appeal was dismissed on the grounds that the </w:t>
      </w:r>
      <w:r w:rsidR="00FC2B82">
        <w:t>proposed</w:t>
      </w:r>
      <w:r>
        <w:t xml:space="preserve"> development could not be considered to </w:t>
      </w:r>
      <w:r w:rsidR="00FC2B82">
        <w:t xml:space="preserve">meet one of the exceptions to Green Belt </w:t>
      </w:r>
      <w:r w:rsidR="0006227E">
        <w:t xml:space="preserve">policy </w:t>
      </w:r>
      <w:r w:rsidR="00FC2B82">
        <w:t xml:space="preserve">and would be harmful to openness. </w:t>
      </w:r>
    </w:p>
    <w:p w14:paraId="5DD00D06" w14:textId="77777777" w:rsidR="00115304" w:rsidRDefault="00115304" w:rsidP="000C06AD">
      <w:pPr>
        <w:pStyle w:val="Default"/>
        <w:spacing w:line="360" w:lineRule="auto"/>
      </w:pPr>
    </w:p>
    <w:p w14:paraId="241C06EC" w14:textId="1C0262AC" w:rsidR="000C06AD" w:rsidRDefault="00FC2B82" w:rsidP="000C06AD">
      <w:pPr>
        <w:pStyle w:val="Default"/>
        <w:spacing w:line="360" w:lineRule="auto"/>
      </w:pPr>
      <w:r>
        <w:t>The current application is submitted in the light of the Inspector’s decision and for a proposed development which we consider does meet such an exception to Green Belt policy.</w:t>
      </w:r>
    </w:p>
    <w:p w14:paraId="5BF69E01" w14:textId="77777777" w:rsidR="00996B3C" w:rsidRDefault="00996B3C" w:rsidP="000C06AD">
      <w:pPr>
        <w:pStyle w:val="Default"/>
        <w:spacing w:line="360" w:lineRule="auto"/>
      </w:pPr>
    </w:p>
    <w:p w14:paraId="07603BB2" w14:textId="31044C56" w:rsidR="00996B3C" w:rsidRDefault="00996B3C" w:rsidP="000C06AD">
      <w:pPr>
        <w:pStyle w:val="Default"/>
        <w:spacing w:line="360" w:lineRule="auto"/>
      </w:pPr>
      <w:r>
        <w:t xml:space="preserve">It is also submitted on the basis that the cabin is lawful through the passage of time, </w:t>
      </w:r>
      <w:r w:rsidR="00EB04F5">
        <w:t xml:space="preserve">where construction began before April 2024 and where the </w:t>
      </w:r>
      <w:r w:rsidR="00654B3F">
        <w:t>building</w:t>
      </w:r>
      <w:r w:rsidR="00EB04F5">
        <w:t xml:space="preserve"> has been </w:t>
      </w:r>
      <w:r w:rsidR="00654B3F">
        <w:t>substantially</w:t>
      </w:r>
      <w:r w:rsidR="00EB04F5">
        <w:t xml:space="preserve"> </w:t>
      </w:r>
      <w:r w:rsidR="00654B3F">
        <w:t xml:space="preserve">competed for more than 4 years. </w:t>
      </w:r>
      <w:r w:rsidR="008E3BF6">
        <w:t xml:space="preserve">In such circumstances its use </w:t>
      </w:r>
      <w:r w:rsidR="00951459">
        <w:t xml:space="preserve">accords with  paragraph 154 (h) (iv) of the National </w:t>
      </w:r>
      <w:r w:rsidR="004442F3">
        <w:t>Planning</w:t>
      </w:r>
      <w:r w:rsidR="00951459">
        <w:t xml:space="preserve"> Policy Framework 2024 (as amended)</w:t>
      </w:r>
      <w:r w:rsidR="00323392">
        <w:t xml:space="preserve"> (</w:t>
      </w:r>
      <w:r w:rsidR="00951459">
        <w:t xml:space="preserve"> the Framework</w:t>
      </w:r>
      <w:r w:rsidR="00323392">
        <w:t>)</w:t>
      </w:r>
    </w:p>
    <w:p w14:paraId="2E388808" w14:textId="77777777" w:rsidR="000C06AD" w:rsidRDefault="000C06AD" w:rsidP="000C06AD">
      <w:pPr>
        <w:pStyle w:val="Default"/>
        <w:spacing w:line="360" w:lineRule="auto"/>
        <w:jc w:val="right"/>
      </w:pPr>
    </w:p>
    <w:p w14:paraId="652EF7C3" w14:textId="5A696FFD" w:rsidR="000C06AD" w:rsidRPr="000C06AD" w:rsidRDefault="000C06AD" w:rsidP="000C06AD">
      <w:pPr>
        <w:pStyle w:val="Default"/>
        <w:spacing w:line="360" w:lineRule="auto"/>
        <w:rPr>
          <w:b/>
          <w:bCs/>
        </w:rPr>
      </w:pPr>
      <w:r w:rsidRPr="000C06AD">
        <w:rPr>
          <w:b/>
          <w:bCs/>
        </w:rPr>
        <w:t>The Main Issues</w:t>
      </w:r>
    </w:p>
    <w:p w14:paraId="11E166BE" w14:textId="1063F15B" w:rsidR="000C06AD" w:rsidRPr="00BA7D1F" w:rsidRDefault="000C06AD" w:rsidP="00BA7D1F">
      <w:pPr>
        <w:pStyle w:val="Default"/>
        <w:spacing w:line="360" w:lineRule="auto"/>
      </w:pPr>
      <w:r>
        <w:t xml:space="preserve"> </w:t>
      </w:r>
    </w:p>
    <w:p w14:paraId="210C6EF6" w14:textId="69832D5C" w:rsidR="00FC2B82" w:rsidRDefault="000C06AD" w:rsidP="00A95981">
      <w:pPr>
        <w:pStyle w:val="Default"/>
        <w:spacing w:line="360" w:lineRule="auto"/>
      </w:pPr>
      <w:r w:rsidRPr="00A95981">
        <w:lastRenderedPageBreak/>
        <w:t>The Main issues are</w:t>
      </w:r>
      <w:r w:rsidRPr="00A95981">
        <w:rPr>
          <w:b/>
          <w:bCs/>
        </w:rPr>
        <w:t xml:space="preserve"> </w:t>
      </w:r>
      <w:r w:rsidR="00FC2B82" w:rsidRPr="00605684">
        <w:t>(</w:t>
      </w:r>
      <w:proofErr w:type="spellStart"/>
      <w:r w:rsidR="00FC2B82" w:rsidRPr="00605684">
        <w:t>i</w:t>
      </w:r>
      <w:proofErr w:type="spellEnd"/>
      <w:r w:rsidR="00FC2B82" w:rsidRPr="00605684">
        <w:t>)</w:t>
      </w:r>
      <w:r w:rsidR="00FC2B82" w:rsidRPr="00A95981">
        <w:rPr>
          <w:b/>
          <w:bCs/>
        </w:rPr>
        <w:t xml:space="preserve"> </w:t>
      </w:r>
      <w:r w:rsidR="00FC2B82" w:rsidRPr="00A95981">
        <w:t>whether the proposal is inappropriate development in the Green Belt having regard to the Framework and any relevant development plan policies; (ii) the effect on the openness of the Green Belt</w:t>
      </w:r>
      <w:r w:rsidR="00A95981" w:rsidRPr="00A95981">
        <w:t xml:space="preserve"> and (iii) </w:t>
      </w:r>
      <w:r w:rsidR="00FC2B82" w:rsidRPr="00A95981">
        <w:t>whether any harm by reason of inappropriateness, and any other harm, is clearly outweighed by other considerations, so as to amount to the very special circumstances required to justify the proposal</w:t>
      </w:r>
      <w:r w:rsidR="00A95981">
        <w:t>.</w:t>
      </w:r>
      <w:r w:rsidR="00FC2B82" w:rsidRPr="00A95981">
        <w:t xml:space="preserve"> </w:t>
      </w:r>
    </w:p>
    <w:p w14:paraId="7A5E25F0" w14:textId="77777777" w:rsidR="00A95981" w:rsidRDefault="00A95981" w:rsidP="00A95981">
      <w:pPr>
        <w:pStyle w:val="Default"/>
        <w:spacing w:line="360" w:lineRule="auto"/>
      </w:pPr>
    </w:p>
    <w:p w14:paraId="382F2233" w14:textId="77777777" w:rsidR="00A95981" w:rsidRDefault="00A95981" w:rsidP="00A95981">
      <w:pPr>
        <w:pStyle w:val="Default"/>
        <w:spacing w:line="360" w:lineRule="auto"/>
        <w:rPr>
          <w:i/>
          <w:iCs/>
        </w:rPr>
      </w:pPr>
    </w:p>
    <w:p w14:paraId="6D7B9C26" w14:textId="65F66289" w:rsidR="00A95981" w:rsidRPr="00E42F86" w:rsidRDefault="00A95981" w:rsidP="009F1A5C">
      <w:pPr>
        <w:pStyle w:val="Default"/>
        <w:spacing w:after="240" w:line="360" w:lineRule="auto"/>
        <w:rPr>
          <w:b/>
          <w:bCs/>
          <w:i/>
          <w:iCs/>
          <w:color w:val="EE0000"/>
        </w:rPr>
      </w:pPr>
      <w:r w:rsidRPr="00E42F86">
        <w:rPr>
          <w:b/>
          <w:bCs/>
          <w:i/>
          <w:iCs/>
          <w:color w:val="EE0000"/>
        </w:rPr>
        <w:t xml:space="preserve">Whether inappropriate Development </w:t>
      </w:r>
    </w:p>
    <w:p w14:paraId="14278662" w14:textId="12790FEB" w:rsidR="00F16DA8" w:rsidRPr="00F16DA8" w:rsidRDefault="00F16DA8" w:rsidP="009F1A5C">
      <w:pPr>
        <w:pStyle w:val="Default"/>
        <w:spacing w:after="240" w:line="360" w:lineRule="auto"/>
      </w:pPr>
      <w:r>
        <w:t>The proposed development would not be inappr</w:t>
      </w:r>
      <w:r w:rsidR="00357A81">
        <w:t xml:space="preserve">opriate in the Green Belt for two main reasons – </w:t>
      </w:r>
      <w:r w:rsidR="00E42F86">
        <w:t xml:space="preserve">firstly </w:t>
      </w:r>
      <w:r w:rsidR="00357A81" w:rsidRPr="00E42F86">
        <w:rPr>
          <w:b/>
          <w:bCs/>
        </w:rPr>
        <w:t>grey belt</w:t>
      </w:r>
      <w:r w:rsidR="00357A81">
        <w:t xml:space="preserve"> and secondly the </w:t>
      </w:r>
      <w:r w:rsidR="00357A81" w:rsidRPr="00E42F86">
        <w:rPr>
          <w:b/>
          <w:bCs/>
        </w:rPr>
        <w:t xml:space="preserve">lawfulness of the </w:t>
      </w:r>
      <w:r w:rsidR="00E42F86" w:rsidRPr="00E42F86">
        <w:rPr>
          <w:b/>
          <w:bCs/>
        </w:rPr>
        <w:t>building</w:t>
      </w:r>
      <w:r w:rsidR="00E42F86">
        <w:t xml:space="preserve"> </w:t>
      </w:r>
    </w:p>
    <w:p w14:paraId="7B1FF576" w14:textId="70A5BA7D" w:rsidR="00004B2B" w:rsidRPr="00A460CA" w:rsidRDefault="00004B2B" w:rsidP="00004B2B">
      <w:pPr>
        <w:tabs>
          <w:tab w:val="left" w:pos="284"/>
        </w:tabs>
        <w:autoSpaceDE w:val="0"/>
        <w:autoSpaceDN w:val="0"/>
        <w:adjustRightInd w:val="0"/>
        <w:spacing w:line="360" w:lineRule="auto"/>
        <w:rPr>
          <w:rFonts w:eastAsia="Lucida Sans Unicode"/>
        </w:rPr>
      </w:pPr>
      <w:r w:rsidRPr="00A460CA">
        <w:rPr>
          <w:rFonts w:eastAsia="Lucida Sans Unicode"/>
        </w:rPr>
        <w:t>Policy JP-G9 of the Greater Manchester Places for Everyone 2024 (</w:t>
      </w:r>
      <w:r>
        <w:rPr>
          <w:rFonts w:eastAsia="Lucida Sans Unicode"/>
        </w:rPr>
        <w:t>PfE</w:t>
      </w:r>
      <w:r w:rsidRPr="00A460CA">
        <w:rPr>
          <w:rFonts w:eastAsia="Lucida Sans Unicode"/>
        </w:rPr>
        <w:t xml:space="preserve">) states: - </w:t>
      </w:r>
    </w:p>
    <w:p w14:paraId="14189A45" w14:textId="77777777" w:rsidR="00004B2B" w:rsidRDefault="00004B2B" w:rsidP="00004B2B">
      <w:pPr>
        <w:tabs>
          <w:tab w:val="left" w:pos="284"/>
        </w:tabs>
        <w:autoSpaceDE w:val="0"/>
        <w:autoSpaceDN w:val="0"/>
        <w:adjustRightInd w:val="0"/>
        <w:spacing w:line="360" w:lineRule="auto"/>
        <w:ind w:firstLine="0"/>
        <w:jc w:val="left"/>
        <w:rPr>
          <w:rFonts w:eastAsia="Lucida Sans Unicode"/>
          <w:i/>
        </w:rPr>
      </w:pPr>
      <w:r w:rsidRPr="000A17CC">
        <w:rPr>
          <w:rFonts w:eastAsia="Lucida Sans Unicode"/>
          <w:i/>
        </w:rPr>
        <w:t>‘The beneficial use of the Green Belt will be enhanced where this can be achieved without harm to its openness, permanence or ability to serve its five purposes. In particular, the enhancement of its green infrastructure functions will be encouraged, such as improved public access and habitat restoration, helping to deliver environmental and social benefits for our residents and providing the high-quality green spaces that will support economic growth’.</w:t>
      </w:r>
    </w:p>
    <w:p w14:paraId="69492F8F" w14:textId="77777777" w:rsidR="002C3349" w:rsidRDefault="006E5861" w:rsidP="00004B2B">
      <w:pPr>
        <w:tabs>
          <w:tab w:val="left" w:pos="284"/>
        </w:tabs>
        <w:autoSpaceDE w:val="0"/>
        <w:autoSpaceDN w:val="0"/>
        <w:adjustRightInd w:val="0"/>
        <w:spacing w:line="360" w:lineRule="auto"/>
        <w:ind w:firstLine="0"/>
        <w:jc w:val="left"/>
        <w:rPr>
          <w:sz w:val="23"/>
          <w:szCs w:val="23"/>
        </w:rPr>
      </w:pPr>
      <w:r>
        <w:rPr>
          <w:sz w:val="23"/>
          <w:szCs w:val="23"/>
        </w:rPr>
        <w:t xml:space="preserve">Paragraph 142 of the </w:t>
      </w:r>
      <w:r w:rsidR="00762047">
        <w:rPr>
          <w:sz w:val="23"/>
          <w:szCs w:val="23"/>
        </w:rPr>
        <w:t xml:space="preserve">National Planning Policy </w:t>
      </w:r>
      <w:r>
        <w:rPr>
          <w:sz w:val="23"/>
          <w:szCs w:val="23"/>
        </w:rPr>
        <w:t>Framework</w:t>
      </w:r>
      <w:r w:rsidR="00762047">
        <w:rPr>
          <w:sz w:val="23"/>
          <w:szCs w:val="23"/>
        </w:rPr>
        <w:t>(2025)</w:t>
      </w:r>
      <w:r w:rsidR="0078746A">
        <w:rPr>
          <w:sz w:val="23"/>
          <w:szCs w:val="23"/>
        </w:rPr>
        <w:t xml:space="preserve">  (</w:t>
      </w:r>
      <w:r w:rsidR="00762047">
        <w:rPr>
          <w:sz w:val="23"/>
          <w:szCs w:val="23"/>
        </w:rPr>
        <w:t xml:space="preserve">the </w:t>
      </w:r>
      <w:r>
        <w:rPr>
          <w:sz w:val="23"/>
          <w:szCs w:val="23"/>
        </w:rPr>
        <w:t>Framework</w:t>
      </w:r>
      <w:r w:rsidR="0078746A">
        <w:rPr>
          <w:sz w:val="23"/>
          <w:szCs w:val="23"/>
        </w:rPr>
        <w:t>)</w:t>
      </w:r>
      <w:r>
        <w:rPr>
          <w:sz w:val="23"/>
          <w:szCs w:val="23"/>
        </w:rPr>
        <w:t xml:space="preserve"> </w:t>
      </w:r>
      <w:r w:rsidR="002C3349">
        <w:rPr>
          <w:sz w:val="23"/>
          <w:szCs w:val="23"/>
        </w:rPr>
        <w:t xml:space="preserve">states </w:t>
      </w:r>
      <w:r w:rsidR="00762047">
        <w:rPr>
          <w:sz w:val="23"/>
          <w:szCs w:val="23"/>
        </w:rPr>
        <w:t>that</w:t>
      </w:r>
      <w:r>
        <w:rPr>
          <w:sz w:val="23"/>
          <w:szCs w:val="23"/>
        </w:rPr>
        <w:t xml:space="preserve"> the fundamental aim of Green Belt policy is to prevent urban sprawl by keeping land permanently open. The essential characteristics of Green Belts are their openness and their permanence.</w:t>
      </w:r>
    </w:p>
    <w:p w14:paraId="7A63E0F9" w14:textId="64909328" w:rsidR="00004B2B" w:rsidRDefault="006E5861" w:rsidP="00004B2B">
      <w:pPr>
        <w:tabs>
          <w:tab w:val="left" w:pos="284"/>
        </w:tabs>
        <w:autoSpaceDE w:val="0"/>
        <w:autoSpaceDN w:val="0"/>
        <w:adjustRightInd w:val="0"/>
        <w:spacing w:line="360" w:lineRule="auto"/>
        <w:ind w:firstLine="0"/>
        <w:jc w:val="left"/>
        <w:rPr>
          <w:sz w:val="23"/>
          <w:szCs w:val="23"/>
        </w:rPr>
      </w:pPr>
      <w:r>
        <w:rPr>
          <w:sz w:val="23"/>
          <w:szCs w:val="23"/>
        </w:rPr>
        <w:t>The Framework, at paragraph 154, sets out the categories of development which may be regarded as not inappropriate in the Green Belt, subject to certain conditions.</w:t>
      </w:r>
    </w:p>
    <w:p w14:paraId="272B5755" w14:textId="68E86A2F" w:rsidR="00A668C4" w:rsidRPr="00421B7B" w:rsidRDefault="00A668C4" w:rsidP="00004B2B">
      <w:pPr>
        <w:tabs>
          <w:tab w:val="left" w:pos="284"/>
        </w:tabs>
        <w:autoSpaceDE w:val="0"/>
        <w:autoSpaceDN w:val="0"/>
        <w:adjustRightInd w:val="0"/>
        <w:spacing w:line="360" w:lineRule="auto"/>
        <w:ind w:firstLine="0"/>
        <w:jc w:val="left"/>
        <w:rPr>
          <w:b/>
          <w:bCs/>
          <w:sz w:val="23"/>
          <w:szCs w:val="23"/>
          <w:u w:val="single"/>
        </w:rPr>
      </w:pPr>
      <w:r w:rsidRPr="00421B7B">
        <w:rPr>
          <w:b/>
          <w:bCs/>
          <w:sz w:val="23"/>
          <w:szCs w:val="23"/>
          <w:u w:val="single"/>
        </w:rPr>
        <w:t>Grey Belt</w:t>
      </w:r>
    </w:p>
    <w:p w14:paraId="6EF617C9" w14:textId="77777777" w:rsidR="008A625B" w:rsidRPr="00A668C4" w:rsidRDefault="008A625B" w:rsidP="008A625B">
      <w:pPr>
        <w:spacing w:line="360" w:lineRule="auto"/>
        <w:ind w:firstLine="0"/>
        <w:jc w:val="left"/>
      </w:pPr>
      <w:r>
        <w:t xml:space="preserve">One such exception is outlined in paragraphs 155 as follows and which refers to </w:t>
      </w:r>
      <w:r w:rsidRPr="00A668C4">
        <w:t>‘grey belt’ land: -</w:t>
      </w:r>
    </w:p>
    <w:p w14:paraId="52FDA2F6" w14:textId="77777777" w:rsidR="008A625B" w:rsidRPr="000B698E" w:rsidRDefault="008A625B" w:rsidP="008A625B">
      <w:pPr>
        <w:spacing w:line="360" w:lineRule="auto"/>
        <w:ind w:firstLine="0"/>
        <w:jc w:val="left"/>
        <w:rPr>
          <w:i/>
          <w:iCs/>
        </w:rPr>
      </w:pPr>
      <w:r>
        <w:t>‘</w:t>
      </w:r>
      <w:r w:rsidRPr="000B698E">
        <w:rPr>
          <w:i/>
          <w:iCs/>
        </w:rPr>
        <w:t>155. The development of homes, commercial and other development in the Green Belt should also not be regarded as inappropriate where:</w:t>
      </w:r>
    </w:p>
    <w:p w14:paraId="676188F6" w14:textId="77777777" w:rsidR="008A625B" w:rsidRPr="000B698E" w:rsidRDefault="008A625B" w:rsidP="008A625B">
      <w:pPr>
        <w:spacing w:line="360" w:lineRule="auto"/>
        <w:ind w:firstLine="0"/>
        <w:jc w:val="left"/>
        <w:rPr>
          <w:i/>
          <w:iCs/>
        </w:rPr>
      </w:pPr>
      <w:r w:rsidRPr="000B698E">
        <w:rPr>
          <w:i/>
          <w:iCs/>
        </w:rPr>
        <w:lastRenderedPageBreak/>
        <w:t>a. The development would utilise grey belt land and would not fundamentally undermine the purposes (taken together) of the remaining Green Belt across the area of the plan;</w:t>
      </w:r>
    </w:p>
    <w:p w14:paraId="23D03E27" w14:textId="77777777" w:rsidR="008A625B" w:rsidRPr="000B698E" w:rsidRDefault="008A625B" w:rsidP="008A625B">
      <w:pPr>
        <w:spacing w:line="360" w:lineRule="auto"/>
        <w:ind w:firstLine="0"/>
        <w:jc w:val="left"/>
        <w:rPr>
          <w:i/>
          <w:iCs/>
        </w:rPr>
      </w:pPr>
      <w:r w:rsidRPr="000B698E">
        <w:rPr>
          <w:i/>
          <w:iCs/>
        </w:rPr>
        <w:t>b. There is a demonstrable unmet need for the type of development proposed;</w:t>
      </w:r>
    </w:p>
    <w:p w14:paraId="06ED3085" w14:textId="77777777" w:rsidR="008A625B" w:rsidRPr="000B698E" w:rsidRDefault="008A625B" w:rsidP="008A625B">
      <w:pPr>
        <w:spacing w:line="360" w:lineRule="auto"/>
        <w:ind w:firstLine="0"/>
        <w:jc w:val="left"/>
        <w:rPr>
          <w:i/>
          <w:iCs/>
        </w:rPr>
      </w:pPr>
      <w:r w:rsidRPr="000B698E">
        <w:rPr>
          <w:i/>
          <w:iCs/>
        </w:rPr>
        <w:t>c. The development would be in a sustainable location, with particular reference to paragraphs 110 and 115 of this Framework; and</w:t>
      </w:r>
    </w:p>
    <w:p w14:paraId="546B0354" w14:textId="77777777" w:rsidR="008A625B" w:rsidRPr="000B698E" w:rsidRDefault="008A625B" w:rsidP="008A625B">
      <w:pPr>
        <w:spacing w:line="360" w:lineRule="auto"/>
        <w:ind w:firstLine="0"/>
        <w:jc w:val="left"/>
        <w:rPr>
          <w:i/>
          <w:iCs/>
        </w:rPr>
      </w:pPr>
      <w:r w:rsidRPr="000B698E">
        <w:rPr>
          <w:i/>
          <w:iCs/>
        </w:rPr>
        <w:t>d. Where applicable the development proposed meets the ‘Golden Rules’ requirements set out in paragraphs 156-157 below</w:t>
      </w:r>
      <w:r>
        <w:rPr>
          <w:i/>
          <w:iCs/>
        </w:rPr>
        <w:t>’</w:t>
      </w:r>
      <w:r w:rsidRPr="000B698E">
        <w:rPr>
          <w:i/>
          <w:iCs/>
        </w:rPr>
        <w:t>.</w:t>
      </w:r>
    </w:p>
    <w:p w14:paraId="44678F5D" w14:textId="77777777" w:rsidR="008A625B" w:rsidRDefault="008A625B" w:rsidP="008A625B">
      <w:pPr>
        <w:spacing w:line="360" w:lineRule="auto"/>
        <w:ind w:firstLine="0"/>
        <w:jc w:val="left"/>
      </w:pPr>
      <w:r>
        <w:t xml:space="preserve">Paragraph 156 of the Framework imposes ‘golden rules for ‘major’ development on grey belt land. Major development is defined in the Framework, for housing, as 10 or more houses or where the site is greater than 0.5 ha. Such requirements do not apply in the case of the current application where the appeal site is less than 0.5 ha. </w:t>
      </w:r>
    </w:p>
    <w:p w14:paraId="47842436" w14:textId="77777777" w:rsidR="008A625B" w:rsidRDefault="008A625B" w:rsidP="008A625B">
      <w:pPr>
        <w:spacing w:line="360" w:lineRule="auto"/>
        <w:ind w:firstLine="0"/>
        <w:jc w:val="left"/>
      </w:pPr>
      <w:r>
        <w:t>Grey Belt Land is defined in Annex 2 to the Framework as follows: -</w:t>
      </w:r>
    </w:p>
    <w:p w14:paraId="336E10FF" w14:textId="77777777" w:rsidR="008A625B" w:rsidRPr="000B698E" w:rsidRDefault="008A625B" w:rsidP="008A625B">
      <w:pPr>
        <w:spacing w:line="360" w:lineRule="auto"/>
        <w:ind w:firstLine="0"/>
        <w:jc w:val="left"/>
        <w:rPr>
          <w:i/>
          <w:iCs/>
        </w:rPr>
      </w:pPr>
      <w:r w:rsidRPr="000B698E">
        <w:rPr>
          <w:i/>
          <w:iCs/>
        </w:rPr>
        <w:t>‘Grey belt: For the purposes of plan-making and decision-making, ‘grey belt’ is defined as land in the Green Belt comprising previously developed land and/or any other land that, in either case, does not strongly contribute to any of purposes (a), (b), or (d) in paragraph 143. ‘Grey belt’ excludes land where the application of the policies relating to the areas or assets in footnote 7 (other than Green Belt) would provide a strong reason for refusing or restricting development.</w:t>
      </w:r>
    </w:p>
    <w:p w14:paraId="22E4E9E7" w14:textId="77777777" w:rsidR="008A625B" w:rsidRDefault="008A625B" w:rsidP="008A625B">
      <w:pPr>
        <w:spacing w:line="360" w:lineRule="auto"/>
        <w:ind w:firstLine="0"/>
        <w:jc w:val="left"/>
      </w:pPr>
      <w:r>
        <w:t>NB. Footnote 7, which defines areas which are excluded from the definition of grey belt land, do not apply in this case. Such areas include habitats sites (and those sites listed in paragraph 194) and/or designated as Sites of Special Scientific Interest; Local Green Space, a National Landscape, a National Park (or within the Broads Authority) or defined as Heritage Coast; irreplaceable habitats; designated heritage assets (and other heritage assets of archaeological interest referred to in footnote 75); and areas at risk of flooding or coastal change.</w:t>
      </w:r>
    </w:p>
    <w:p w14:paraId="3E432DEA" w14:textId="77777777" w:rsidR="008A625B" w:rsidRDefault="008A625B" w:rsidP="008A625B">
      <w:pPr>
        <w:spacing w:line="360" w:lineRule="auto"/>
        <w:ind w:firstLine="0"/>
        <w:jc w:val="left"/>
        <w:rPr>
          <w:b/>
          <w:bCs/>
        </w:rPr>
      </w:pPr>
      <w:r w:rsidRPr="00A71813">
        <w:rPr>
          <w:b/>
          <w:bCs/>
        </w:rPr>
        <w:t>The application site in relation to the definition of ‘grey belt’ land</w:t>
      </w:r>
    </w:p>
    <w:p w14:paraId="4FA368A1" w14:textId="74883FBE" w:rsidR="00242003" w:rsidRDefault="00242003" w:rsidP="008A625B">
      <w:pPr>
        <w:spacing w:line="360" w:lineRule="auto"/>
        <w:ind w:firstLine="0"/>
        <w:jc w:val="left"/>
      </w:pPr>
      <w:r w:rsidRPr="00C12A25">
        <w:t xml:space="preserve">The following plan shows the </w:t>
      </w:r>
      <w:r w:rsidR="00C12A25" w:rsidRPr="00C12A25">
        <w:t>position of the application site within the Green Belt</w:t>
      </w:r>
      <w:r w:rsidR="00C12A25">
        <w:t>: -</w:t>
      </w:r>
    </w:p>
    <w:p w14:paraId="2C7232CA" w14:textId="335E5D12" w:rsidR="00316F97" w:rsidRPr="00C12A25" w:rsidRDefault="00D327F4" w:rsidP="008A625B">
      <w:pPr>
        <w:spacing w:line="360" w:lineRule="auto"/>
        <w:ind w:firstLine="0"/>
        <w:jc w:val="left"/>
      </w:pPr>
      <w:r>
        <w:rPr>
          <w:noProof/>
        </w:rPr>
        <w:lastRenderedPageBreak/>
        <w:drawing>
          <wp:inline distT="0" distB="0" distL="0" distR="0" wp14:anchorId="46253A41" wp14:editId="7E12220B">
            <wp:extent cx="5731510" cy="2655570"/>
            <wp:effectExtent l="0" t="0" r="2540" b="0"/>
            <wp:docPr id="1547301630"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301630" name="Picture 1" descr="A map of a city&#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31510" cy="2655570"/>
                    </a:xfrm>
                    <a:prstGeom prst="rect">
                      <a:avLst/>
                    </a:prstGeom>
                  </pic:spPr>
                </pic:pic>
              </a:graphicData>
            </a:graphic>
          </wp:inline>
        </w:drawing>
      </w:r>
    </w:p>
    <w:p w14:paraId="32453875" w14:textId="77777777" w:rsidR="008A625B" w:rsidRDefault="008A625B" w:rsidP="008A625B">
      <w:pPr>
        <w:spacing w:line="360" w:lineRule="auto"/>
        <w:ind w:firstLine="0"/>
        <w:jc w:val="left"/>
      </w:pPr>
    </w:p>
    <w:p w14:paraId="2493C12A" w14:textId="77777777" w:rsidR="008A625B" w:rsidRDefault="008A625B" w:rsidP="008A625B">
      <w:pPr>
        <w:spacing w:line="360" w:lineRule="auto"/>
        <w:ind w:firstLine="0"/>
        <w:jc w:val="left"/>
      </w:pPr>
      <w:r>
        <w:t>In order to meet the definition, the site must not ‘</w:t>
      </w:r>
      <w:r w:rsidRPr="0041567C">
        <w:rPr>
          <w:b/>
          <w:bCs/>
        </w:rPr>
        <w:t>strongly</w:t>
      </w:r>
      <w:r>
        <w:t xml:space="preserve"> contribute to any of the purposes (a), (b), or (d) of the Green Belt as defined in paragraph 143 of the Framework.(My highlighting) </w:t>
      </w:r>
    </w:p>
    <w:p w14:paraId="11147805" w14:textId="77777777" w:rsidR="008A625B" w:rsidRDefault="008A625B" w:rsidP="008A625B">
      <w:pPr>
        <w:spacing w:line="360" w:lineRule="auto"/>
        <w:ind w:firstLine="0"/>
        <w:jc w:val="left"/>
      </w:pPr>
      <w:r>
        <w:t>These purposes are stated as follows in the Framework: -</w:t>
      </w:r>
    </w:p>
    <w:p w14:paraId="594D21C5" w14:textId="77777777" w:rsidR="008A625B" w:rsidRPr="00B812F2" w:rsidRDefault="008A625B" w:rsidP="008A625B">
      <w:pPr>
        <w:spacing w:line="360" w:lineRule="auto"/>
        <w:ind w:firstLine="0"/>
        <w:jc w:val="left"/>
        <w:rPr>
          <w:color w:val="0070C0"/>
        </w:rPr>
      </w:pPr>
      <w:r w:rsidRPr="00B812F2">
        <w:rPr>
          <w:color w:val="0070C0"/>
        </w:rPr>
        <w:t>‘a) to check the unrestricted sprawl of large built-up areas</w:t>
      </w:r>
    </w:p>
    <w:p w14:paraId="7F15671E" w14:textId="77777777" w:rsidR="008A625B" w:rsidRPr="00B812F2" w:rsidRDefault="008A625B" w:rsidP="008A625B">
      <w:pPr>
        <w:spacing w:line="360" w:lineRule="auto"/>
        <w:ind w:firstLine="0"/>
        <w:jc w:val="left"/>
        <w:rPr>
          <w:color w:val="0070C0"/>
        </w:rPr>
      </w:pPr>
      <w:r w:rsidRPr="00B812F2">
        <w:rPr>
          <w:color w:val="0070C0"/>
        </w:rPr>
        <w:t>b) to prevent neighbouring towns merging into one another</w:t>
      </w:r>
    </w:p>
    <w:p w14:paraId="7321E0F5" w14:textId="77777777" w:rsidR="008A625B" w:rsidRPr="00B812F2" w:rsidRDefault="008A625B" w:rsidP="008A625B">
      <w:pPr>
        <w:spacing w:line="360" w:lineRule="auto"/>
        <w:ind w:firstLine="0"/>
        <w:jc w:val="left"/>
        <w:rPr>
          <w:color w:val="0070C0"/>
        </w:rPr>
      </w:pPr>
      <w:r w:rsidRPr="00B812F2">
        <w:rPr>
          <w:color w:val="0070C0"/>
        </w:rPr>
        <w:t>d) to preserve the setting and special character of historic towns’.</w:t>
      </w:r>
    </w:p>
    <w:p w14:paraId="6324F692" w14:textId="77777777" w:rsidR="008A625B" w:rsidRDefault="008A625B" w:rsidP="008A625B">
      <w:pPr>
        <w:spacing w:line="360" w:lineRule="auto"/>
        <w:ind w:firstLine="0"/>
        <w:jc w:val="left"/>
      </w:pPr>
      <w:r>
        <w:t>Planning Policy Guidance (PPG) (Paragraph: 005 Reference ID: 64-005-20250225) contains advice on how these matters might be assessed.</w:t>
      </w:r>
    </w:p>
    <w:p w14:paraId="4D63DADF" w14:textId="77777777" w:rsidR="008A625B" w:rsidRPr="000132A9" w:rsidRDefault="008A625B" w:rsidP="008A625B">
      <w:pPr>
        <w:widowControl w:val="0"/>
        <w:shd w:val="clear" w:color="auto" w:fill="FFFFFF"/>
        <w:suppressAutoHyphens/>
        <w:spacing w:before="300" w:after="300" w:line="360" w:lineRule="auto"/>
        <w:ind w:firstLine="0"/>
        <w:jc w:val="left"/>
        <w:rPr>
          <w:rFonts w:eastAsia="Times New Roman"/>
          <w:i/>
          <w:iCs/>
          <w:color w:val="0070C0"/>
          <w:kern w:val="0"/>
          <w:lang w:eastAsia="en-GB"/>
        </w:rPr>
      </w:pPr>
      <w:r w:rsidRPr="000132A9">
        <w:rPr>
          <w:rFonts w:eastAsia="Times New Roman"/>
          <w:b/>
          <w:bCs/>
          <w:i/>
          <w:iCs/>
          <w:color w:val="0070C0"/>
          <w:kern w:val="0"/>
          <w:lang w:eastAsia="en-GB"/>
        </w:rPr>
        <w:t>‘Purpose A – to check the unrestricted sprawl of large built up areas</w:t>
      </w:r>
    </w:p>
    <w:p w14:paraId="0AD075F5" w14:textId="77777777" w:rsidR="008A625B" w:rsidRPr="000132A9" w:rsidRDefault="008A625B" w:rsidP="008A625B">
      <w:pPr>
        <w:widowControl w:val="0"/>
        <w:shd w:val="clear" w:color="auto" w:fill="FFFFFF"/>
        <w:suppressAutoHyphens/>
        <w:spacing w:before="300" w:after="300" w:line="360" w:lineRule="auto"/>
        <w:ind w:firstLine="0"/>
        <w:jc w:val="left"/>
        <w:rPr>
          <w:rFonts w:eastAsia="Times New Roman"/>
          <w:i/>
          <w:iCs/>
          <w:color w:val="0070C0"/>
          <w:kern w:val="0"/>
          <w:lang w:eastAsia="en-GB"/>
        </w:rPr>
      </w:pPr>
      <w:r w:rsidRPr="000132A9">
        <w:rPr>
          <w:rFonts w:eastAsia="Times New Roman"/>
          <w:i/>
          <w:iCs/>
          <w:color w:val="0070C0"/>
          <w:kern w:val="0"/>
          <w:lang w:eastAsia="en-GB"/>
        </w:rPr>
        <w:t>This purpose relates to the sprawl of large built-up areas. Villages should not be considered large built-up areas. </w:t>
      </w:r>
    </w:p>
    <w:tbl>
      <w:tblPr>
        <w:tblW w:w="9450" w:type="dxa"/>
        <w:shd w:val="clear" w:color="auto" w:fill="FFFFFF"/>
        <w:tblCellMar>
          <w:top w:w="15" w:type="dxa"/>
          <w:left w:w="15" w:type="dxa"/>
          <w:bottom w:w="15" w:type="dxa"/>
          <w:right w:w="15" w:type="dxa"/>
        </w:tblCellMar>
        <w:tblLook w:val="04A0" w:firstRow="1" w:lastRow="0" w:firstColumn="1" w:lastColumn="0" w:noHBand="0" w:noVBand="1"/>
      </w:tblPr>
      <w:tblGrid>
        <w:gridCol w:w="1767"/>
        <w:gridCol w:w="7683"/>
      </w:tblGrid>
      <w:tr w:rsidR="008A625B" w:rsidRPr="000132A9" w14:paraId="6F341B7F" w14:textId="77777777" w:rsidTr="002019D6">
        <w:trPr>
          <w:tblHeader/>
        </w:trPr>
        <w:tc>
          <w:tcPr>
            <w:tcW w:w="0" w:type="auto"/>
            <w:tcBorders>
              <w:bottom w:val="single" w:sz="6" w:space="0" w:color="B1B4B6"/>
            </w:tcBorders>
            <w:shd w:val="clear" w:color="auto" w:fill="FFFFFF"/>
            <w:tcMar>
              <w:top w:w="150" w:type="dxa"/>
              <w:left w:w="0" w:type="dxa"/>
              <w:bottom w:w="150" w:type="dxa"/>
              <w:right w:w="300" w:type="dxa"/>
            </w:tcMar>
            <w:hideMark/>
          </w:tcPr>
          <w:p w14:paraId="7A49DC6A" w14:textId="77777777" w:rsidR="008A625B" w:rsidRPr="000132A9" w:rsidRDefault="008A625B" w:rsidP="008A625B">
            <w:pPr>
              <w:widowControl w:val="0"/>
              <w:suppressAutoHyphens/>
              <w:spacing w:before="450" w:after="450" w:line="360" w:lineRule="auto"/>
              <w:ind w:firstLine="0"/>
              <w:jc w:val="left"/>
              <w:rPr>
                <w:rFonts w:eastAsia="Times New Roman"/>
                <w:b/>
                <w:bCs/>
                <w:i/>
                <w:iCs/>
                <w:color w:val="0070C0"/>
                <w:kern w:val="0"/>
                <w:lang w:eastAsia="en-GB"/>
              </w:rPr>
            </w:pPr>
            <w:r w:rsidRPr="000132A9">
              <w:rPr>
                <w:rFonts w:eastAsia="Times New Roman"/>
                <w:b/>
                <w:bCs/>
                <w:i/>
                <w:iCs/>
                <w:color w:val="0070C0"/>
                <w:kern w:val="0"/>
                <w:lang w:eastAsia="en-GB"/>
              </w:rPr>
              <w:lastRenderedPageBreak/>
              <w:t>Contribution</w:t>
            </w:r>
          </w:p>
        </w:tc>
        <w:tc>
          <w:tcPr>
            <w:tcW w:w="0" w:type="auto"/>
            <w:tcBorders>
              <w:bottom w:val="single" w:sz="6" w:space="0" w:color="B1B4B6"/>
            </w:tcBorders>
            <w:shd w:val="clear" w:color="auto" w:fill="FFFFFF"/>
            <w:tcMar>
              <w:top w:w="150" w:type="dxa"/>
              <w:left w:w="0" w:type="dxa"/>
              <w:bottom w:w="150" w:type="dxa"/>
              <w:right w:w="0" w:type="dxa"/>
            </w:tcMar>
            <w:hideMark/>
          </w:tcPr>
          <w:p w14:paraId="7E99D959" w14:textId="77777777" w:rsidR="008A625B" w:rsidRPr="000132A9" w:rsidRDefault="008A625B" w:rsidP="008A625B">
            <w:pPr>
              <w:widowControl w:val="0"/>
              <w:suppressAutoHyphens/>
              <w:spacing w:before="450" w:after="450" w:line="360" w:lineRule="auto"/>
              <w:ind w:firstLine="0"/>
              <w:jc w:val="left"/>
              <w:rPr>
                <w:rFonts w:eastAsia="Times New Roman"/>
                <w:b/>
                <w:bCs/>
                <w:i/>
                <w:iCs/>
                <w:color w:val="0070C0"/>
                <w:kern w:val="0"/>
                <w:lang w:eastAsia="en-GB"/>
              </w:rPr>
            </w:pPr>
            <w:r w:rsidRPr="000132A9">
              <w:rPr>
                <w:rFonts w:eastAsia="Times New Roman"/>
                <w:b/>
                <w:bCs/>
                <w:i/>
                <w:iCs/>
                <w:color w:val="0070C0"/>
                <w:kern w:val="0"/>
                <w:lang w:eastAsia="en-GB"/>
              </w:rPr>
              <w:t>Illustrative features</w:t>
            </w:r>
          </w:p>
        </w:tc>
      </w:tr>
      <w:tr w:rsidR="008A625B" w:rsidRPr="000132A9" w14:paraId="3E9E5BA5" w14:textId="77777777" w:rsidTr="002019D6">
        <w:tc>
          <w:tcPr>
            <w:tcW w:w="0" w:type="auto"/>
            <w:tcBorders>
              <w:bottom w:val="single" w:sz="6" w:space="0" w:color="B1B4B6"/>
            </w:tcBorders>
            <w:shd w:val="clear" w:color="auto" w:fill="FFFFFF"/>
            <w:tcMar>
              <w:top w:w="150" w:type="dxa"/>
              <w:left w:w="0" w:type="dxa"/>
              <w:bottom w:w="150" w:type="dxa"/>
              <w:right w:w="300" w:type="dxa"/>
            </w:tcMar>
            <w:hideMark/>
          </w:tcPr>
          <w:p w14:paraId="3D0FD431" w14:textId="77777777" w:rsidR="008A625B" w:rsidRPr="000132A9"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0132A9">
              <w:rPr>
                <w:rFonts w:eastAsia="Times New Roman"/>
                <w:i/>
                <w:iCs/>
                <w:color w:val="0070C0"/>
                <w:kern w:val="0"/>
                <w:lang w:eastAsia="en-GB"/>
              </w:rPr>
              <w:t>Strong</w:t>
            </w:r>
          </w:p>
        </w:tc>
        <w:tc>
          <w:tcPr>
            <w:tcW w:w="0" w:type="auto"/>
            <w:tcBorders>
              <w:bottom w:val="single" w:sz="6" w:space="0" w:color="B1B4B6"/>
            </w:tcBorders>
            <w:shd w:val="clear" w:color="auto" w:fill="FFFFFF"/>
            <w:tcMar>
              <w:top w:w="150" w:type="dxa"/>
              <w:left w:w="0" w:type="dxa"/>
              <w:bottom w:w="150" w:type="dxa"/>
              <w:right w:w="0" w:type="dxa"/>
            </w:tcMar>
            <w:hideMark/>
          </w:tcPr>
          <w:p w14:paraId="234C3BC9" w14:textId="77777777" w:rsidR="008A625B" w:rsidRPr="000132A9"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0132A9">
              <w:rPr>
                <w:rFonts w:eastAsia="Times New Roman"/>
                <w:i/>
                <w:iCs/>
                <w:color w:val="0070C0"/>
                <w:kern w:val="0"/>
                <w:lang w:eastAsia="en-GB"/>
              </w:rPr>
              <w:t>Assessment areas that contribute strongly are likely to be free of existing development, and lack physical feature(s) in reasonable proximity that could restrict and contain development.</w:t>
            </w:r>
            <w:r w:rsidRPr="000132A9">
              <w:rPr>
                <w:rFonts w:eastAsia="Times New Roman"/>
                <w:i/>
                <w:iCs/>
                <w:color w:val="0070C0"/>
                <w:kern w:val="0"/>
                <w:lang w:eastAsia="en-GB"/>
              </w:rPr>
              <w:br/>
              <w:t>They are also likely to include all of the following features:</w:t>
            </w:r>
            <w:r w:rsidRPr="000132A9">
              <w:rPr>
                <w:rFonts w:eastAsia="Times New Roman"/>
                <w:i/>
                <w:iCs/>
                <w:color w:val="0070C0"/>
                <w:kern w:val="0"/>
                <w:lang w:eastAsia="en-GB"/>
              </w:rPr>
              <w:br/>
              <w:t>- be adjacent or near to a large built up area</w:t>
            </w:r>
            <w:r w:rsidRPr="000132A9">
              <w:rPr>
                <w:rFonts w:eastAsia="Times New Roman"/>
                <w:i/>
                <w:iCs/>
                <w:color w:val="0070C0"/>
                <w:kern w:val="0"/>
                <w:lang w:eastAsia="en-GB"/>
              </w:rPr>
              <w:br/>
              <w:t>- if developed, result in an incongruous pattern of development (such as an extended “finger” of development into the Green Belt)</w:t>
            </w:r>
          </w:p>
        </w:tc>
      </w:tr>
      <w:tr w:rsidR="008A625B" w:rsidRPr="000132A9" w14:paraId="212611D9" w14:textId="77777777" w:rsidTr="002019D6">
        <w:tc>
          <w:tcPr>
            <w:tcW w:w="0" w:type="auto"/>
            <w:tcBorders>
              <w:bottom w:val="single" w:sz="6" w:space="0" w:color="B1B4B6"/>
            </w:tcBorders>
            <w:shd w:val="clear" w:color="auto" w:fill="FFFFFF"/>
            <w:tcMar>
              <w:top w:w="150" w:type="dxa"/>
              <w:left w:w="0" w:type="dxa"/>
              <w:bottom w:w="150" w:type="dxa"/>
              <w:right w:w="300" w:type="dxa"/>
            </w:tcMar>
            <w:hideMark/>
          </w:tcPr>
          <w:p w14:paraId="5C2EA9AC" w14:textId="77777777" w:rsidR="008A625B" w:rsidRPr="000132A9"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0132A9">
              <w:rPr>
                <w:rFonts w:eastAsia="Times New Roman"/>
                <w:i/>
                <w:iCs/>
                <w:color w:val="0070C0"/>
                <w:kern w:val="0"/>
                <w:lang w:eastAsia="en-GB"/>
              </w:rPr>
              <w:t>Moderate</w:t>
            </w:r>
          </w:p>
        </w:tc>
        <w:tc>
          <w:tcPr>
            <w:tcW w:w="0" w:type="auto"/>
            <w:tcBorders>
              <w:bottom w:val="single" w:sz="6" w:space="0" w:color="B1B4B6"/>
            </w:tcBorders>
            <w:shd w:val="clear" w:color="auto" w:fill="FFFFFF"/>
            <w:tcMar>
              <w:top w:w="150" w:type="dxa"/>
              <w:left w:w="0" w:type="dxa"/>
              <w:bottom w:w="150" w:type="dxa"/>
              <w:right w:w="0" w:type="dxa"/>
            </w:tcMar>
            <w:hideMark/>
          </w:tcPr>
          <w:p w14:paraId="0530186F" w14:textId="77777777" w:rsidR="008A625B" w:rsidRPr="000132A9"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0132A9">
              <w:rPr>
                <w:rFonts w:eastAsia="Times New Roman"/>
                <w:i/>
                <w:iCs/>
                <w:color w:val="0070C0"/>
                <w:kern w:val="0"/>
                <w:lang w:eastAsia="en-GB"/>
              </w:rPr>
              <w:t>Assessment areas that contribute moderately are likely to be adjacent or near to a large built up area, but include one or more features that weaken the land’s contribution to this purpose a, such as (but not limited to): </w:t>
            </w:r>
            <w:r w:rsidRPr="000132A9">
              <w:rPr>
                <w:rFonts w:eastAsia="Times New Roman"/>
                <w:i/>
                <w:iCs/>
                <w:color w:val="0070C0"/>
                <w:kern w:val="0"/>
                <w:lang w:eastAsia="en-GB"/>
              </w:rPr>
              <w:br/>
              <w:t>- having physical feature(s) in reasonable proximity that could restrict and contain development</w:t>
            </w:r>
            <w:r w:rsidRPr="000132A9">
              <w:rPr>
                <w:rFonts w:eastAsia="Times New Roman"/>
                <w:i/>
                <w:iCs/>
                <w:color w:val="0070C0"/>
                <w:kern w:val="0"/>
                <w:lang w:eastAsia="en-GB"/>
              </w:rPr>
              <w:br/>
              <w:t>- be partially enclosed by existing development, such that new development would not result in an incongruous pattern of development</w:t>
            </w:r>
            <w:r w:rsidRPr="000132A9">
              <w:rPr>
                <w:rFonts w:eastAsia="Times New Roman"/>
                <w:i/>
                <w:iCs/>
                <w:color w:val="0070C0"/>
                <w:kern w:val="0"/>
                <w:lang w:eastAsia="en-GB"/>
              </w:rPr>
              <w:br/>
              <w:t>- contain existing development</w:t>
            </w:r>
            <w:r w:rsidRPr="000132A9">
              <w:rPr>
                <w:rFonts w:eastAsia="Times New Roman"/>
                <w:i/>
                <w:iCs/>
                <w:color w:val="0070C0"/>
                <w:kern w:val="0"/>
                <w:lang w:eastAsia="en-GB"/>
              </w:rPr>
              <w:br/>
              <w:t>- being subject to other urbanising influences</w:t>
            </w:r>
          </w:p>
        </w:tc>
      </w:tr>
      <w:tr w:rsidR="008A625B" w:rsidRPr="000132A9" w14:paraId="64C3938D" w14:textId="77777777" w:rsidTr="002019D6">
        <w:tc>
          <w:tcPr>
            <w:tcW w:w="0" w:type="auto"/>
            <w:tcBorders>
              <w:bottom w:val="single" w:sz="6" w:space="0" w:color="B1B4B6"/>
            </w:tcBorders>
            <w:shd w:val="clear" w:color="auto" w:fill="FFFFFF"/>
            <w:tcMar>
              <w:top w:w="150" w:type="dxa"/>
              <w:left w:w="0" w:type="dxa"/>
              <w:bottom w:w="150" w:type="dxa"/>
              <w:right w:w="300" w:type="dxa"/>
            </w:tcMar>
            <w:hideMark/>
          </w:tcPr>
          <w:p w14:paraId="4C877C29" w14:textId="77777777" w:rsidR="008A625B" w:rsidRPr="000132A9"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0132A9">
              <w:rPr>
                <w:rFonts w:eastAsia="Times New Roman"/>
                <w:i/>
                <w:iCs/>
                <w:color w:val="0070C0"/>
                <w:kern w:val="0"/>
                <w:lang w:eastAsia="en-GB"/>
              </w:rPr>
              <w:t>Weak or None</w:t>
            </w:r>
          </w:p>
        </w:tc>
        <w:tc>
          <w:tcPr>
            <w:tcW w:w="0" w:type="auto"/>
            <w:tcBorders>
              <w:bottom w:val="single" w:sz="6" w:space="0" w:color="B1B4B6"/>
            </w:tcBorders>
            <w:shd w:val="clear" w:color="auto" w:fill="FFFFFF"/>
            <w:tcMar>
              <w:top w:w="150" w:type="dxa"/>
              <w:left w:w="0" w:type="dxa"/>
              <w:bottom w:w="150" w:type="dxa"/>
              <w:right w:w="0" w:type="dxa"/>
            </w:tcMar>
            <w:hideMark/>
          </w:tcPr>
          <w:p w14:paraId="04B311EE" w14:textId="77777777" w:rsidR="008A625B" w:rsidRPr="000132A9"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0132A9">
              <w:rPr>
                <w:rFonts w:eastAsia="Times New Roman"/>
                <w:i/>
                <w:iCs/>
                <w:color w:val="0070C0"/>
                <w:kern w:val="0"/>
                <w:lang w:eastAsia="en-GB"/>
              </w:rPr>
              <w:t>Assessment areas that make only a weak or no contribution are likely to include those that: </w:t>
            </w:r>
            <w:r w:rsidRPr="000132A9">
              <w:rPr>
                <w:rFonts w:eastAsia="Times New Roman"/>
                <w:i/>
                <w:iCs/>
                <w:color w:val="0070C0"/>
                <w:kern w:val="0"/>
                <w:lang w:eastAsia="en-GB"/>
              </w:rPr>
              <w:br/>
              <w:t>- are not adjacent to or near to a large built up area</w:t>
            </w:r>
            <w:r w:rsidRPr="000132A9">
              <w:rPr>
                <w:rFonts w:eastAsia="Times New Roman"/>
                <w:i/>
                <w:iCs/>
                <w:color w:val="0070C0"/>
                <w:kern w:val="0"/>
                <w:lang w:eastAsia="en-GB"/>
              </w:rPr>
              <w:br/>
              <w:t xml:space="preserve">- are adjacent to or near to a large built up area, but containing or being </w:t>
            </w:r>
            <w:r w:rsidRPr="000132A9">
              <w:rPr>
                <w:rFonts w:eastAsia="Times New Roman"/>
                <w:i/>
                <w:iCs/>
                <w:color w:val="0070C0"/>
                <w:kern w:val="0"/>
                <w:lang w:eastAsia="en-GB"/>
              </w:rPr>
              <w:lastRenderedPageBreak/>
              <w:t>largely enclosed by significant existing development’</w:t>
            </w:r>
          </w:p>
        </w:tc>
      </w:tr>
    </w:tbl>
    <w:p w14:paraId="3E007BFD" w14:textId="77777777" w:rsidR="008A625B" w:rsidRPr="000132A9" w:rsidRDefault="008A625B" w:rsidP="008A625B">
      <w:pPr>
        <w:widowControl w:val="0"/>
        <w:tabs>
          <w:tab w:val="left" w:pos="3594"/>
        </w:tabs>
        <w:suppressAutoHyphens/>
        <w:spacing w:after="0" w:line="360" w:lineRule="auto"/>
        <w:ind w:firstLine="0"/>
        <w:jc w:val="left"/>
        <w:rPr>
          <w:rFonts w:eastAsia="Lucida Sans Unicode"/>
          <w:kern w:val="0"/>
          <w:lang w:eastAsia="en-GB"/>
        </w:rPr>
      </w:pPr>
    </w:p>
    <w:p w14:paraId="33A164BD" w14:textId="77777777" w:rsidR="008A625B" w:rsidRDefault="008A625B" w:rsidP="008A625B">
      <w:pPr>
        <w:spacing w:line="360" w:lineRule="auto"/>
        <w:ind w:firstLine="0"/>
        <w:jc w:val="left"/>
        <w:rPr>
          <w:b/>
          <w:bCs/>
          <w:color w:val="0070C0"/>
        </w:rPr>
      </w:pPr>
    </w:p>
    <w:p w14:paraId="51A2799B" w14:textId="77777777" w:rsidR="008A625B" w:rsidRDefault="008A625B" w:rsidP="008A625B">
      <w:pPr>
        <w:spacing w:line="360" w:lineRule="auto"/>
        <w:ind w:firstLine="0"/>
        <w:jc w:val="left"/>
        <w:rPr>
          <w:b/>
          <w:bCs/>
          <w:color w:val="0070C0"/>
        </w:rPr>
      </w:pPr>
    </w:p>
    <w:p w14:paraId="61200C11" w14:textId="77777777" w:rsidR="008A625B" w:rsidRDefault="008A625B" w:rsidP="008A625B">
      <w:pPr>
        <w:spacing w:line="360" w:lineRule="auto"/>
        <w:ind w:firstLine="0"/>
        <w:jc w:val="left"/>
      </w:pPr>
      <w:r>
        <w:t xml:space="preserve">In this case, the appeal site is not adjacent to or near to a large built-up area. </w:t>
      </w:r>
    </w:p>
    <w:p w14:paraId="257BE36F" w14:textId="77777777" w:rsidR="008A625B" w:rsidRDefault="008A625B" w:rsidP="008A625B">
      <w:pPr>
        <w:spacing w:line="360" w:lineRule="auto"/>
        <w:ind w:firstLine="0"/>
        <w:jc w:val="left"/>
      </w:pPr>
      <w:r>
        <w:t>For this reason, the appeal site makes only a weak contribution to the checking of the unrestricted sprawl of a large built-up area.</w:t>
      </w:r>
    </w:p>
    <w:p w14:paraId="196AE01D" w14:textId="2479AD7B" w:rsidR="008A625B" w:rsidRPr="00337C53" w:rsidRDefault="008A625B" w:rsidP="008A625B">
      <w:pPr>
        <w:spacing w:line="360" w:lineRule="auto"/>
        <w:ind w:firstLine="0"/>
        <w:jc w:val="left"/>
        <w:rPr>
          <w:i/>
          <w:iCs/>
        </w:rPr>
      </w:pPr>
      <w:r>
        <w:t xml:space="preserve">This is the conclusion of the LPA also, when it states in its officer report </w:t>
      </w:r>
      <w:r w:rsidR="009B23CF">
        <w:t xml:space="preserve">relating to the earlier proposal for </w:t>
      </w:r>
      <w:r w:rsidR="006D4DCE">
        <w:t xml:space="preserve">the building and its use as a holiday let </w:t>
      </w:r>
      <w:r>
        <w:t>that ‘ t</w:t>
      </w:r>
      <w:r w:rsidRPr="00337C53">
        <w:rPr>
          <w:i/>
          <w:iCs/>
        </w:rPr>
        <w:t>he development applied for however is not significant enough in size to contribute</w:t>
      </w:r>
      <w:r w:rsidR="006D4DCE">
        <w:rPr>
          <w:i/>
          <w:iCs/>
        </w:rPr>
        <w:t xml:space="preserve"> </w:t>
      </w:r>
      <w:r w:rsidRPr="00337C53">
        <w:rPr>
          <w:i/>
          <w:iCs/>
        </w:rPr>
        <w:t>towards what could be considered to constitute a sprawl of a large built-up area and</w:t>
      </w:r>
      <w:r w:rsidR="006D4DCE">
        <w:rPr>
          <w:i/>
          <w:iCs/>
        </w:rPr>
        <w:t xml:space="preserve"> </w:t>
      </w:r>
      <w:r w:rsidRPr="00337C53">
        <w:rPr>
          <w:i/>
          <w:iCs/>
        </w:rPr>
        <w:t>it would not conflict with this purpose</w:t>
      </w:r>
      <w:r>
        <w:rPr>
          <w:i/>
          <w:iCs/>
        </w:rPr>
        <w:t>’.</w:t>
      </w:r>
    </w:p>
    <w:p w14:paraId="784A12FA" w14:textId="77777777" w:rsidR="008A625B" w:rsidRPr="00D62A30" w:rsidRDefault="008A625B" w:rsidP="008A625B">
      <w:pPr>
        <w:widowControl w:val="0"/>
        <w:shd w:val="clear" w:color="auto" w:fill="FFFFFF"/>
        <w:suppressAutoHyphens/>
        <w:spacing w:before="300" w:after="300" w:line="360" w:lineRule="auto"/>
        <w:ind w:firstLine="0"/>
        <w:jc w:val="left"/>
        <w:rPr>
          <w:rFonts w:eastAsia="Times New Roman"/>
          <w:i/>
          <w:iCs/>
          <w:color w:val="0070C0"/>
          <w:kern w:val="0"/>
          <w:lang w:eastAsia="en-GB"/>
        </w:rPr>
      </w:pPr>
      <w:r w:rsidRPr="00D62A30">
        <w:rPr>
          <w:rFonts w:eastAsia="Times New Roman"/>
          <w:b/>
          <w:bCs/>
          <w:i/>
          <w:iCs/>
          <w:color w:val="0070C0"/>
          <w:kern w:val="0"/>
          <w:lang w:eastAsia="en-GB"/>
        </w:rPr>
        <w:t>‘Purpose B – to prevent neighbouring towns merging into one another</w:t>
      </w:r>
    </w:p>
    <w:p w14:paraId="4CC6FF86" w14:textId="77777777" w:rsidR="008A625B" w:rsidRPr="00D62A30" w:rsidRDefault="008A625B" w:rsidP="008A625B">
      <w:pPr>
        <w:widowControl w:val="0"/>
        <w:shd w:val="clear" w:color="auto" w:fill="FFFFFF"/>
        <w:suppressAutoHyphens/>
        <w:spacing w:before="300" w:after="300" w:line="360" w:lineRule="auto"/>
        <w:ind w:firstLine="0"/>
        <w:jc w:val="left"/>
        <w:rPr>
          <w:rFonts w:eastAsia="Times New Roman"/>
          <w:i/>
          <w:iCs/>
          <w:color w:val="0070C0"/>
          <w:kern w:val="0"/>
          <w:lang w:eastAsia="en-GB"/>
        </w:rPr>
      </w:pPr>
      <w:r w:rsidRPr="00D62A30">
        <w:rPr>
          <w:rFonts w:eastAsia="Times New Roman"/>
          <w:i/>
          <w:iCs/>
          <w:color w:val="0070C0"/>
          <w:kern w:val="0"/>
          <w:lang w:eastAsia="en-GB"/>
        </w:rPr>
        <w:t>This purpose relates to the merging of towns, not villages.   </w:t>
      </w:r>
    </w:p>
    <w:tbl>
      <w:tblPr>
        <w:tblW w:w="9450" w:type="dxa"/>
        <w:shd w:val="clear" w:color="auto" w:fill="FFFFFF"/>
        <w:tblCellMar>
          <w:top w:w="15" w:type="dxa"/>
          <w:left w:w="15" w:type="dxa"/>
          <w:bottom w:w="15" w:type="dxa"/>
          <w:right w:w="15" w:type="dxa"/>
        </w:tblCellMar>
        <w:tblLook w:val="04A0" w:firstRow="1" w:lastRow="0" w:firstColumn="1" w:lastColumn="0" w:noHBand="0" w:noVBand="1"/>
      </w:tblPr>
      <w:tblGrid>
        <w:gridCol w:w="1764"/>
        <w:gridCol w:w="7686"/>
      </w:tblGrid>
      <w:tr w:rsidR="008A625B" w:rsidRPr="00D62A30" w14:paraId="1B1F168E" w14:textId="77777777" w:rsidTr="002019D6">
        <w:trPr>
          <w:tblHeader/>
        </w:trPr>
        <w:tc>
          <w:tcPr>
            <w:tcW w:w="0" w:type="auto"/>
            <w:tcBorders>
              <w:bottom w:val="single" w:sz="6" w:space="0" w:color="B1B4B6"/>
            </w:tcBorders>
            <w:shd w:val="clear" w:color="auto" w:fill="FFFFFF"/>
            <w:tcMar>
              <w:top w:w="150" w:type="dxa"/>
              <w:left w:w="0" w:type="dxa"/>
              <w:bottom w:w="150" w:type="dxa"/>
              <w:right w:w="300" w:type="dxa"/>
            </w:tcMar>
            <w:hideMark/>
          </w:tcPr>
          <w:p w14:paraId="09459784" w14:textId="77777777" w:rsidR="008A625B" w:rsidRPr="00D62A30" w:rsidRDefault="008A625B" w:rsidP="008A625B">
            <w:pPr>
              <w:widowControl w:val="0"/>
              <w:suppressAutoHyphens/>
              <w:spacing w:before="450" w:after="450" w:line="360" w:lineRule="auto"/>
              <w:ind w:firstLine="0"/>
              <w:jc w:val="left"/>
              <w:rPr>
                <w:rFonts w:eastAsia="Times New Roman"/>
                <w:b/>
                <w:bCs/>
                <w:i/>
                <w:iCs/>
                <w:color w:val="0070C0"/>
                <w:kern w:val="0"/>
                <w:lang w:eastAsia="en-GB"/>
              </w:rPr>
            </w:pPr>
            <w:r w:rsidRPr="00D62A30">
              <w:rPr>
                <w:rFonts w:eastAsia="Times New Roman"/>
                <w:b/>
                <w:bCs/>
                <w:i/>
                <w:iCs/>
                <w:color w:val="0070C0"/>
                <w:kern w:val="0"/>
                <w:lang w:eastAsia="en-GB"/>
              </w:rPr>
              <w:t>Contribution</w:t>
            </w:r>
          </w:p>
        </w:tc>
        <w:tc>
          <w:tcPr>
            <w:tcW w:w="0" w:type="auto"/>
            <w:tcBorders>
              <w:bottom w:val="single" w:sz="6" w:space="0" w:color="B1B4B6"/>
            </w:tcBorders>
            <w:shd w:val="clear" w:color="auto" w:fill="FFFFFF"/>
            <w:tcMar>
              <w:top w:w="150" w:type="dxa"/>
              <w:left w:w="0" w:type="dxa"/>
              <w:bottom w:w="150" w:type="dxa"/>
              <w:right w:w="0" w:type="dxa"/>
            </w:tcMar>
            <w:hideMark/>
          </w:tcPr>
          <w:p w14:paraId="4DD262A4" w14:textId="77777777" w:rsidR="008A625B" w:rsidRPr="00D62A30" w:rsidRDefault="008A625B" w:rsidP="008A625B">
            <w:pPr>
              <w:widowControl w:val="0"/>
              <w:suppressAutoHyphens/>
              <w:spacing w:before="450" w:after="450" w:line="360" w:lineRule="auto"/>
              <w:ind w:firstLine="0"/>
              <w:jc w:val="left"/>
              <w:rPr>
                <w:rFonts w:eastAsia="Times New Roman"/>
                <w:b/>
                <w:bCs/>
                <w:i/>
                <w:iCs/>
                <w:color w:val="0070C0"/>
                <w:kern w:val="0"/>
                <w:lang w:eastAsia="en-GB"/>
              </w:rPr>
            </w:pPr>
            <w:r w:rsidRPr="00D62A30">
              <w:rPr>
                <w:rFonts w:eastAsia="Times New Roman"/>
                <w:b/>
                <w:bCs/>
                <w:i/>
                <w:iCs/>
                <w:color w:val="0070C0"/>
                <w:kern w:val="0"/>
                <w:lang w:eastAsia="en-GB"/>
              </w:rPr>
              <w:t>Illustrative Features</w:t>
            </w:r>
          </w:p>
        </w:tc>
      </w:tr>
      <w:tr w:rsidR="008A625B" w:rsidRPr="00D62A30" w14:paraId="56FC41A6" w14:textId="77777777" w:rsidTr="002019D6">
        <w:tc>
          <w:tcPr>
            <w:tcW w:w="0" w:type="auto"/>
            <w:tcBorders>
              <w:bottom w:val="single" w:sz="6" w:space="0" w:color="B1B4B6"/>
            </w:tcBorders>
            <w:shd w:val="clear" w:color="auto" w:fill="FFFFFF"/>
            <w:tcMar>
              <w:top w:w="150" w:type="dxa"/>
              <w:left w:w="0" w:type="dxa"/>
              <w:bottom w:w="150" w:type="dxa"/>
              <w:right w:w="300" w:type="dxa"/>
            </w:tcMar>
            <w:hideMark/>
          </w:tcPr>
          <w:p w14:paraId="12B10B6C" w14:textId="77777777" w:rsidR="008A625B" w:rsidRPr="00D62A30"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D62A30">
              <w:rPr>
                <w:rFonts w:eastAsia="Times New Roman"/>
                <w:i/>
                <w:iCs/>
                <w:color w:val="0070C0"/>
                <w:kern w:val="0"/>
                <w:lang w:eastAsia="en-GB"/>
              </w:rPr>
              <w:t>Strong</w:t>
            </w:r>
          </w:p>
        </w:tc>
        <w:tc>
          <w:tcPr>
            <w:tcW w:w="0" w:type="auto"/>
            <w:tcBorders>
              <w:bottom w:val="single" w:sz="6" w:space="0" w:color="B1B4B6"/>
            </w:tcBorders>
            <w:shd w:val="clear" w:color="auto" w:fill="FFFFFF"/>
            <w:tcMar>
              <w:top w:w="150" w:type="dxa"/>
              <w:left w:w="0" w:type="dxa"/>
              <w:bottom w:w="150" w:type="dxa"/>
              <w:right w:w="0" w:type="dxa"/>
            </w:tcMar>
            <w:hideMark/>
          </w:tcPr>
          <w:p w14:paraId="2D0FECCD" w14:textId="77777777" w:rsidR="008A625B" w:rsidRPr="00D62A30"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D62A30">
              <w:rPr>
                <w:rFonts w:eastAsia="Times New Roman"/>
                <w:i/>
                <w:iCs/>
                <w:color w:val="0070C0"/>
                <w:kern w:val="0"/>
                <w:lang w:eastAsia="en-GB"/>
              </w:rPr>
              <w:t>Assessment areas that contribute strongly are likely to be free of existing development and include all of the following features: </w:t>
            </w:r>
            <w:r w:rsidRPr="00D62A30">
              <w:rPr>
                <w:rFonts w:eastAsia="Times New Roman"/>
                <w:i/>
                <w:iCs/>
                <w:color w:val="0070C0"/>
                <w:kern w:val="0"/>
                <w:lang w:eastAsia="en-GB"/>
              </w:rPr>
              <w:br/>
              <w:t>- forming a substantial part of a gap between towns</w:t>
            </w:r>
            <w:r w:rsidRPr="00D62A30">
              <w:rPr>
                <w:rFonts w:eastAsia="Times New Roman"/>
                <w:i/>
                <w:iCs/>
                <w:color w:val="0070C0"/>
                <w:kern w:val="0"/>
                <w:lang w:eastAsia="en-GB"/>
              </w:rPr>
              <w:br/>
            </w:r>
            <w:r w:rsidRPr="00D62A30">
              <w:rPr>
                <w:rFonts w:eastAsia="Times New Roman"/>
                <w:i/>
                <w:iCs/>
                <w:color w:val="0070C0"/>
                <w:kern w:val="0"/>
                <w:lang w:eastAsia="en-GB"/>
              </w:rPr>
              <w:lastRenderedPageBreak/>
              <w:t>- the development of which would be likely to result in the loss of visual separation of towns</w:t>
            </w:r>
          </w:p>
        </w:tc>
      </w:tr>
      <w:tr w:rsidR="008A625B" w:rsidRPr="00D62A30" w14:paraId="44D850E5" w14:textId="77777777" w:rsidTr="002019D6">
        <w:tc>
          <w:tcPr>
            <w:tcW w:w="0" w:type="auto"/>
            <w:tcBorders>
              <w:bottom w:val="single" w:sz="6" w:space="0" w:color="B1B4B6"/>
            </w:tcBorders>
            <w:shd w:val="clear" w:color="auto" w:fill="FFFFFF"/>
            <w:tcMar>
              <w:top w:w="150" w:type="dxa"/>
              <w:left w:w="0" w:type="dxa"/>
              <w:bottom w:w="150" w:type="dxa"/>
              <w:right w:w="300" w:type="dxa"/>
            </w:tcMar>
            <w:hideMark/>
          </w:tcPr>
          <w:p w14:paraId="266F5A98" w14:textId="77777777" w:rsidR="008A625B" w:rsidRPr="00D62A30"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D62A30">
              <w:rPr>
                <w:rFonts w:eastAsia="Times New Roman"/>
                <w:i/>
                <w:iCs/>
                <w:color w:val="0070C0"/>
                <w:kern w:val="0"/>
                <w:lang w:eastAsia="en-GB"/>
              </w:rPr>
              <w:lastRenderedPageBreak/>
              <w:t>Moderate</w:t>
            </w:r>
          </w:p>
        </w:tc>
        <w:tc>
          <w:tcPr>
            <w:tcW w:w="0" w:type="auto"/>
            <w:tcBorders>
              <w:bottom w:val="single" w:sz="6" w:space="0" w:color="B1B4B6"/>
            </w:tcBorders>
            <w:shd w:val="clear" w:color="auto" w:fill="FFFFFF"/>
            <w:tcMar>
              <w:top w:w="150" w:type="dxa"/>
              <w:left w:w="0" w:type="dxa"/>
              <w:bottom w:w="150" w:type="dxa"/>
              <w:right w:w="0" w:type="dxa"/>
            </w:tcMar>
            <w:hideMark/>
          </w:tcPr>
          <w:p w14:paraId="18F3322B" w14:textId="77777777" w:rsidR="008A625B" w:rsidRPr="00D62A30"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D62A30">
              <w:rPr>
                <w:rFonts w:eastAsia="Times New Roman"/>
                <w:i/>
                <w:iCs/>
                <w:color w:val="0070C0"/>
                <w:kern w:val="0"/>
                <w:lang w:eastAsia="en-GB"/>
              </w:rPr>
              <w:t xml:space="preserve">Assessment areas that contribute moderately are likely to be located in a gap between </w:t>
            </w:r>
            <w:proofErr w:type="gramStart"/>
            <w:r w:rsidRPr="00D62A30">
              <w:rPr>
                <w:rFonts w:eastAsia="Times New Roman"/>
                <w:i/>
                <w:iCs/>
                <w:color w:val="0070C0"/>
                <w:kern w:val="0"/>
                <w:lang w:eastAsia="en-GB"/>
              </w:rPr>
              <w:t>towns, but</w:t>
            </w:r>
            <w:proofErr w:type="gramEnd"/>
            <w:r w:rsidRPr="00D62A30">
              <w:rPr>
                <w:rFonts w:eastAsia="Times New Roman"/>
                <w:i/>
                <w:iCs/>
                <w:color w:val="0070C0"/>
                <w:kern w:val="0"/>
                <w:lang w:eastAsia="en-GB"/>
              </w:rPr>
              <w:t xml:space="preserve"> include one or more features that weaken their contribution to this purpose, such as (but not limited to): </w:t>
            </w:r>
            <w:r w:rsidRPr="00D62A30">
              <w:rPr>
                <w:rFonts w:eastAsia="Times New Roman"/>
                <w:i/>
                <w:iCs/>
                <w:color w:val="0070C0"/>
                <w:kern w:val="0"/>
                <w:lang w:eastAsia="en-GB"/>
              </w:rPr>
              <w:br/>
              <w:t>- forming a small part of the gap between towns</w:t>
            </w:r>
            <w:r w:rsidRPr="00D62A30">
              <w:rPr>
                <w:rFonts w:eastAsia="Times New Roman"/>
                <w:i/>
                <w:iCs/>
                <w:color w:val="0070C0"/>
                <w:kern w:val="0"/>
                <w:lang w:eastAsia="en-GB"/>
              </w:rPr>
              <w:br/>
              <w:t>- being able to be developed without the loss of visual separation between towns. This could be (but is not limited to) due to the presence or the close proximity of structures, natural landscape elements or topography that preserve visual separation</w:t>
            </w:r>
          </w:p>
        </w:tc>
      </w:tr>
      <w:tr w:rsidR="008A625B" w:rsidRPr="00D62A30" w14:paraId="58F4D3F4" w14:textId="77777777" w:rsidTr="002019D6">
        <w:tc>
          <w:tcPr>
            <w:tcW w:w="0" w:type="auto"/>
            <w:tcBorders>
              <w:bottom w:val="single" w:sz="6" w:space="0" w:color="B1B4B6"/>
            </w:tcBorders>
            <w:shd w:val="clear" w:color="auto" w:fill="FFFFFF"/>
            <w:tcMar>
              <w:top w:w="150" w:type="dxa"/>
              <w:left w:w="0" w:type="dxa"/>
              <w:bottom w:w="150" w:type="dxa"/>
              <w:right w:w="300" w:type="dxa"/>
            </w:tcMar>
            <w:hideMark/>
          </w:tcPr>
          <w:p w14:paraId="39A440A7" w14:textId="77777777" w:rsidR="008A625B" w:rsidRPr="00D62A30"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D62A30">
              <w:rPr>
                <w:rFonts w:eastAsia="Times New Roman"/>
                <w:i/>
                <w:iCs/>
                <w:color w:val="0070C0"/>
                <w:kern w:val="0"/>
                <w:lang w:eastAsia="en-GB"/>
              </w:rPr>
              <w:t>Weak or None</w:t>
            </w:r>
          </w:p>
        </w:tc>
        <w:tc>
          <w:tcPr>
            <w:tcW w:w="0" w:type="auto"/>
            <w:tcBorders>
              <w:bottom w:val="single" w:sz="6" w:space="0" w:color="B1B4B6"/>
            </w:tcBorders>
            <w:shd w:val="clear" w:color="auto" w:fill="FFFFFF"/>
            <w:tcMar>
              <w:top w:w="150" w:type="dxa"/>
              <w:left w:w="0" w:type="dxa"/>
              <w:bottom w:w="150" w:type="dxa"/>
              <w:right w:w="0" w:type="dxa"/>
            </w:tcMar>
            <w:hideMark/>
          </w:tcPr>
          <w:p w14:paraId="6D5109E0" w14:textId="77777777" w:rsidR="008A625B" w:rsidRPr="00D62A30" w:rsidRDefault="008A625B" w:rsidP="008A625B">
            <w:pPr>
              <w:widowControl w:val="0"/>
              <w:suppressAutoHyphens/>
              <w:spacing w:before="450" w:after="450" w:line="360" w:lineRule="auto"/>
              <w:ind w:firstLine="0"/>
              <w:jc w:val="left"/>
              <w:rPr>
                <w:rFonts w:eastAsia="Times New Roman"/>
                <w:i/>
                <w:iCs/>
                <w:color w:val="0070C0"/>
                <w:kern w:val="0"/>
                <w:lang w:eastAsia="en-GB"/>
              </w:rPr>
            </w:pPr>
            <w:r w:rsidRPr="00D62A30">
              <w:rPr>
                <w:rFonts w:eastAsia="Times New Roman"/>
                <w:i/>
                <w:iCs/>
                <w:color w:val="0070C0"/>
                <w:kern w:val="0"/>
                <w:lang w:eastAsia="en-GB"/>
              </w:rPr>
              <w:t>Assessment areas that contribute weakly are likely to include those that: </w:t>
            </w:r>
            <w:r w:rsidRPr="00D62A30">
              <w:rPr>
                <w:rFonts w:eastAsia="Times New Roman"/>
                <w:i/>
                <w:iCs/>
                <w:color w:val="0070C0"/>
                <w:kern w:val="0"/>
                <w:lang w:eastAsia="en-GB"/>
              </w:rPr>
              <w:br/>
              <w:t>- do not form part of a gap between towns, or </w:t>
            </w:r>
            <w:r w:rsidRPr="00D62A30">
              <w:rPr>
                <w:rFonts w:eastAsia="Times New Roman"/>
                <w:i/>
                <w:iCs/>
                <w:color w:val="0070C0"/>
                <w:kern w:val="0"/>
                <w:lang w:eastAsia="en-GB"/>
              </w:rPr>
              <w:br/>
              <w:t>- form part of a gap between towns, but only a very small part of this gap, without making a contribution to visual separation’</w:t>
            </w:r>
          </w:p>
        </w:tc>
      </w:tr>
    </w:tbl>
    <w:p w14:paraId="437421F7" w14:textId="77777777" w:rsidR="008A625B" w:rsidRPr="00D62A30" w:rsidRDefault="008A625B" w:rsidP="008A625B">
      <w:pPr>
        <w:widowControl w:val="0"/>
        <w:suppressAutoHyphens/>
        <w:spacing w:after="0" w:line="360" w:lineRule="auto"/>
        <w:ind w:firstLine="0"/>
        <w:jc w:val="left"/>
        <w:rPr>
          <w:rFonts w:eastAsia="Times New Roman"/>
          <w:bCs/>
          <w:color w:val="000000"/>
          <w:kern w:val="0"/>
          <w:lang w:eastAsia="en-GB"/>
        </w:rPr>
      </w:pPr>
    </w:p>
    <w:p w14:paraId="5947D0E7" w14:textId="77777777" w:rsidR="008A625B" w:rsidRDefault="008A625B" w:rsidP="008A625B">
      <w:pPr>
        <w:spacing w:line="360" w:lineRule="auto"/>
        <w:ind w:firstLine="0"/>
        <w:jc w:val="left"/>
      </w:pPr>
      <w:r>
        <w:t xml:space="preserve">The Green Belt plan above shows that the appeal site lies on the very edge of the Green Belt boundary. Land immediately to the west rises steeply and the contours alone constrain further development and act to prevent the coalescence of Littleborough  with Ramsbottom and Greenmount to the North of Bury. By its limited area and constrained by existing development to the North, it adds nothing to the prevention of coalescence with Todmorden to the North.  </w:t>
      </w:r>
    </w:p>
    <w:p w14:paraId="33261565" w14:textId="77777777" w:rsidR="008A625B" w:rsidRDefault="008A625B" w:rsidP="008A625B">
      <w:pPr>
        <w:spacing w:line="360" w:lineRule="auto"/>
        <w:ind w:firstLine="0"/>
        <w:jc w:val="left"/>
      </w:pPr>
      <w:r>
        <w:lastRenderedPageBreak/>
        <w:t xml:space="preserve"> Therefore, it makes at best only a weak contribution to visual separation.</w:t>
      </w:r>
    </w:p>
    <w:p w14:paraId="570F979C" w14:textId="284CB048" w:rsidR="008A625B" w:rsidRPr="00E87DED" w:rsidRDefault="008A625B" w:rsidP="008A625B">
      <w:pPr>
        <w:spacing w:line="360" w:lineRule="auto"/>
        <w:ind w:firstLine="0"/>
        <w:jc w:val="left"/>
        <w:rPr>
          <w:i/>
          <w:iCs/>
        </w:rPr>
      </w:pPr>
      <w:r>
        <w:t xml:space="preserve">This is also the conclusion of the LPA when it states in its officer report </w:t>
      </w:r>
      <w:r w:rsidR="00316B41">
        <w:t>to which reference is made above</w:t>
      </w:r>
      <w:r>
        <w:t xml:space="preserve"> that ‘ </w:t>
      </w:r>
      <w:r w:rsidR="004F54ED">
        <w:t>The</w:t>
      </w:r>
      <w:r>
        <w:t xml:space="preserve"> development and application site involved with this application serves no purpose in preventing neighbouring towns merging and as such it would not conflict with this purpose’.</w:t>
      </w:r>
    </w:p>
    <w:p w14:paraId="6121F74A" w14:textId="77777777" w:rsidR="008A625B" w:rsidRPr="00B81191" w:rsidRDefault="008A625B" w:rsidP="008A625B">
      <w:pPr>
        <w:widowControl w:val="0"/>
        <w:shd w:val="clear" w:color="auto" w:fill="FFFFFF"/>
        <w:suppressAutoHyphens/>
        <w:spacing w:before="300" w:after="300" w:line="360" w:lineRule="auto"/>
        <w:ind w:firstLine="0"/>
        <w:jc w:val="left"/>
        <w:rPr>
          <w:rFonts w:eastAsia="Times New Roman"/>
          <w:i/>
          <w:iCs/>
          <w:color w:val="0070C0"/>
          <w:kern w:val="0"/>
          <w:lang w:eastAsia="en-GB"/>
        </w:rPr>
      </w:pPr>
      <w:r w:rsidRPr="00B81191">
        <w:rPr>
          <w:rFonts w:eastAsia="Times New Roman"/>
          <w:b/>
          <w:bCs/>
          <w:i/>
          <w:iCs/>
          <w:color w:val="0070C0"/>
          <w:kern w:val="0"/>
          <w:lang w:eastAsia="en-GB"/>
        </w:rPr>
        <w:t>Purpose D – to preserve the setting and special character of historic towns </w:t>
      </w:r>
    </w:p>
    <w:p w14:paraId="6F18CF3C" w14:textId="77777777" w:rsidR="008A625B" w:rsidRPr="00B81191" w:rsidRDefault="008A625B" w:rsidP="008A625B">
      <w:pPr>
        <w:widowControl w:val="0"/>
        <w:shd w:val="clear" w:color="auto" w:fill="FFFFFF"/>
        <w:suppressAutoHyphens/>
        <w:spacing w:before="300" w:after="300" w:line="360" w:lineRule="auto"/>
        <w:ind w:firstLine="0"/>
        <w:jc w:val="left"/>
        <w:rPr>
          <w:rFonts w:eastAsia="Times New Roman"/>
          <w:color w:val="0B0C0C"/>
          <w:kern w:val="0"/>
          <w:lang w:eastAsia="en-GB"/>
        </w:rPr>
      </w:pPr>
      <w:r w:rsidRPr="00B81191">
        <w:rPr>
          <w:rFonts w:eastAsia="Times New Roman"/>
          <w:i/>
          <w:iCs/>
          <w:color w:val="0070C0"/>
          <w:kern w:val="0"/>
          <w:lang w:eastAsia="en-GB"/>
        </w:rPr>
        <w:t>This purpose relates to historic towns, not villages. Where there are no historic towns in the plan area, it may not be necessary to provide detailed assessments against this purpose</w:t>
      </w:r>
      <w:r w:rsidRPr="00B81191">
        <w:rPr>
          <w:rFonts w:eastAsia="Times New Roman"/>
          <w:color w:val="0B0C0C"/>
          <w:kern w:val="0"/>
          <w:lang w:eastAsia="en-GB"/>
        </w:rPr>
        <w:t>.  </w:t>
      </w:r>
    </w:p>
    <w:p w14:paraId="25D32C95" w14:textId="77777777" w:rsidR="008A625B" w:rsidRDefault="008A625B" w:rsidP="008A625B">
      <w:pPr>
        <w:spacing w:line="360" w:lineRule="auto"/>
        <w:ind w:firstLine="0"/>
        <w:jc w:val="left"/>
      </w:pPr>
      <w:r>
        <w:t>In this instance, the appeal site makes no such contribution.</w:t>
      </w:r>
    </w:p>
    <w:p w14:paraId="3162064E" w14:textId="461E29BE" w:rsidR="008A625B" w:rsidRPr="00AD7580" w:rsidRDefault="008A625B" w:rsidP="008A625B">
      <w:pPr>
        <w:spacing w:line="360" w:lineRule="auto"/>
        <w:ind w:firstLine="0"/>
        <w:jc w:val="left"/>
        <w:rPr>
          <w:i/>
          <w:iCs/>
        </w:rPr>
      </w:pPr>
      <w:r>
        <w:t xml:space="preserve">The LPA, in its officer report </w:t>
      </w:r>
      <w:r w:rsidR="002112EA">
        <w:t>to which reference has been made</w:t>
      </w:r>
      <w:r w:rsidR="001D12F7">
        <w:t>,</w:t>
      </w:r>
      <w:r w:rsidR="002112EA">
        <w:t xml:space="preserve"> </w:t>
      </w:r>
      <w:r>
        <w:t xml:space="preserve">concurs and states that ‘ </w:t>
      </w:r>
      <w:r w:rsidRPr="00AD7580">
        <w:rPr>
          <w:i/>
          <w:iCs/>
        </w:rPr>
        <w:t xml:space="preserve">the application site does not </w:t>
      </w:r>
      <w:proofErr w:type="spellStart"/>
      <w:r w:rsidRPr="00AD7580">
        <w:rPr>
          <w:i/>
          <w:iCs/>
        </w:rPr>
        <w:t>abut</w:t>
      </w:r>
      <w:proofErr w:type="spellEnd"/>
      <w:r w:rsidRPr="00AD7580">
        <w:rPr>
          <w:i/>
          <w:iCs/>
        </w:rPr>
        <w:t xml:space="preserve"> an identified historic settlement and does not have a physical or visual relationship to the setting or significance of an historic town. The proposed development would not conflict with this purpose’.</w:t>
      </w:r>
    </w:p>
    <w:p w14:paraId="31FEB4A3" w14:textId="77777777" w:rsidR="008A625B" w:rsidRPr="00F20998" w:rsidRDefault="008A625B" w:rsidP="008A625B">
      <w:pPr>
        <w:spacing w:line="360" w:lineRule="auto"/>
        <w:ind w:firstLine="0"/>
        <w:jc w:val="left"/>
        <w:rPr>
          <w:b/>
          <w:bCs/>
        </w:rPr>
      </w:pPr>
      <w:r w:rsidRPr="00F20998">
        <w:rPr>
          <w:b/>
          <w:bCs/>
        </w:rPr>
        <w:t>Conclusion upon the purposes of the Green Belt (a, b and d) and the classification of the application site as grey belt.</w:t>
      </w:r>
    </w:p>
    <w:p w14:paraId="184AE687" w14:textId="77777777" w:rsidR="008A625B" w:rsidRDefault="008A625B" w:rsidP="008A625B">
      <w:pPr>
        <w:spacing w:line="360" w:lineRule="auto"/>
        <w:ind w:firstLine="0"/>
        <w:jc w:val="left"/>
      </w:pPr>
      <w:r>
        <w:t>The application site makes only a weak contribution to the checking of an unrestricted sprawl of a  large built-up area. It makes only a weak contribution to the prevention of the merging of Littleborough with towns around it including Ramsbottom and Todmorden, and it makes no contribution to the preservation of the setting and special character of a historic town. The LPA concurs.</w:t>
      </w:r>
    </w:p>
    <w:p w14:paraId="53C557F1" w14:textId="77777777" w:rsidR="008A625B" w:rsidRDefault="008A625B" w:rsidP="008A625B">
      <w:pPr>
        <w:spacing w:line="360" w:lineRule="auto"/>
        <w:ind w:firstLine="0"/>
        <w:jc w:val="left"/>
      </w:pPr>
      <w:r>
        <w:t>Therefore, we conclude that the application site is grey belt land, and as such it meets one of the exceptions to Green Belt policy as stated in paragraph 155 (a) of the Framework: -</w:t>
      </w:r>
    </w:p>
    <w:p w14:paraId="22AD21A1" w14:textId="1E4F110D" w:rsidR="008A625B" w:rsidRPr="006C17DF" w:rsidRDefault="008A625B" w:rsidP="008A625B">
      <w:pPr>
        <w:spacing w:line="360" w:lineRule="auto"/>
        <w:ind w:firstLine="0"/>
        <w:jc w:val="left"/>
        <w:rPr>
          <w:color w:val="0070C0"/>
        </w:rPr>
      </w:pPr>
      <w:r>
        <w:t xml:space="preserve"> </w:t>
      </w:r>
      <w:r w:rsidRPr="006C17DF">
        <w:rPr>
          <w:color w:val="0070C0"/>
        </w:rPr>
        <w:t>‘155. The development of homes, commercial and other development in the Green Belt should also not be regarded as inappropriate where all the following apply:</w:t>
      </w:r>
    </w:p>
    <w:p w14:paraId="66EFE079" w14:textId="77777777" w:rsidR="008A625B" w:rsidRPr="006C17DF" w:rsidRDefault="008A625B" w:rsidP="008A625B">
      <w:pPr>
        <w:spacing w:line="360" w:lineRule="auto"/>
        <w:ind w:firstLine="0"/>
        <w:jc w:val="left"/>
        <w:rPr>
          <w:color w:val="0070C0"/>
        </w:rPr>
      </w:pPr>
      <w:r w:rsidRPr="006C17DF">
        <w:rPr>
          <w:color w:val="0070C0"/>
        </w:rPr>
        <w:lastRenderedPageBreak/>
        <w:t>a.</w:t>
      </w:r>
      <w:r w:rsidRPr="006C17DF">
        <w:rPr>
          <w:color w:val="0070C0"/>
        </w:rPr>
        <w:tab/>
        <w:t>The development would utilise grey belt land and would not fundamentally undermine the purposes (taken together) of the remaining Green Belt across the area of the plan;</w:t>
      </w:r>
    </w:p>
    <w:p w14:paraId="1B836AA2" w14:textId="77777777" w:rsidR="008A625B" w:rsidRPr="006C17DF" w:rsidRDefault="008A625B" w:rsidP="008A625B">
      <w:pPr>
        <w:spacing w:line="360" w:lineRule="auto"/>
        <w:ind w:firstLine="0"/>
        <w:jc w:val="left"/>
        <w:rPr>
          <w:color w:val="0070C0"/>
        </w:rPr>
      </w:pPr>
      <w:r w:rsidRPr="006C17DF">
        <w:rPr>
          <w:color w:val="0070C0"/>
        </w:rPr>
        <w:t>b. There is a demonstrable unmet need for the type of development proposed;</w:t>
      </w:r>
    </w:p>
    <w:p w14:paraId="1B9E992D" w14:textId="77777777" w:rsidR="008A625B" w:rsidRPr="006C17DF" w:rsidRDefault="008A625B" w:rsidP="008A625B">
      <w:pPr>
        <w:spacing w:line="360" w:lineRule="auto"/>
        <w:ind w:firstLine="0"/>
        <w:jc w:val="left"/>
        <w:rPr>
          <w:color w:val="0070C0"/>
        </w:rPr>
      </w:pPr>
      <w:r w:rsidRPr="006C17DF">
        <w:rPr>
          <w:color w:val="0070C0"/>
        </w:rPr>
        <w:t>c. The development would be in a sustainable location, with particular reference to paragraphs 110 and 115 of this Framework and</w:t>
      </w:r>
    </w:p>
    <w:p w14:paraId="2E672266" w14:textId="77777777" w:rsidR="008A625B" w:rsidRPr="006C17DF" w:rsidRDefault="008A625B" w:rsidP="008A625B">
      <w:pPr>
        <w:spacing w:line="360" w:lineRule="auto"/>
        <w:ind w:firstLine="0"/>
        <w:jc w:val="left"/>
        <w:rPr>
          <w:color w:val="0070C0"/>
        </w:rPr>
      </w:pPr>
      <w:r w:rsidRPr="006C17DF">
        <w:rPr>
          <w:color w:val="0070C0"/>
        </w:rPr>
        <w:t xml:space="preserve">d. Where applicable the development proposed meets the ‘Golden Rules’ requirements set out in paragraphs 156-157 (Not applicable in this case because the size of the proposed development falls below the level where this condition becomes relevant) </w:t>
      </w:r>
    </w:p>
    <w:p w14:paraId="09468C27" w14:textId="40A4AF9B" w:rsidR="00355052" w:rsidRDefault="00CC630D" w:rsidP="008A625B">
      <w:pPr>
        <w:tabs>
          <w:tab w:val="left" w:pos="284"/>
        </w:tabs>
        <w:autoSpaceDE w:val="0"/>
        <w:autoSpaceDN w:val="0"/>
        <w:adjustRightInd w:val="0"/>
        <w:spacing w:line="360" w:lineRule="auto"/>
        <w:ind w:firstLine="0"/>
        <w:jc w:val="left"/>
        <w:rPr>
          <w:rFonts w:eastAsia="Lucida Sans Unicode"/>
          <w:iCs/>
        </w:rPr>
      </w:pPr>
      <w:r>
        <w:rPr>
          <w:rFonts w:eastAsia="Lucida Sans Unicode"/>
          <w:iCs/>
        </w:rPr>
        <w:t xml:space="preserve">When determining the </w:t>
      </w:r>
      <w:r w:rsidR="00547B10">
        <w:rPr>
          <w:rFonts w:eastAsia="Lucida Sans Unicode"/>
          <w:iCs/>
        </w:rPr>
        <w:t>earlier</w:t>
      </w:r>
      <w:r w:rsidR="00C61C7D">
        <w:rPr>
          <w:rFonts w:eastAsia="Lucida Sans Unicode"/>
          <w:iCs/>
        </w:rPr>
        <w:t xml:space="preserve"> </w:t>
      </w:r>
      <w:r w:rsidR="00625295">
        <w:rPr>
          <w:rFonts w:eastAsia="Lucida Sans Unicode"/>
          <w:iCs/>
        </w:rPr>
        <w:t>appeal,</w:t>
      </w:r>
      <w:r w:rsidR="00C61C7D">
        <w:rPr>
          <w:rFonts w:eastAsia="Lucida Sans Unicode"/>
          <w:iCs/>
        </w:rPr>
        <w:t xml:space="preserve"> the Planning Inspector came to no conclusion </w:t>
      </w:r>
      <w:r w:rsidR="00983789">
        <w:rPr>
          <w:rFonts w:eastAsia="Lucida Sans Unicode"/>
          <w:iCs/>
        </w:rPr>
        <w:t>as to whether the appeal site constitutes grey belt land</w:t>
      </w:r>
      <w:r w:rsidR="00625295">
        <w:rPr>
          <w:rFonts w:eastAsia="Lucida Sans Unicode"/>
          <w:iCs/>
        </w:rPr>
        <w:t xml:space="preserve"> </w:t>
      </w:r>
      <w:r w:rsidR="00C95D29">
        <w:rPr>
          <w:rFonts w:eastAsia="Lucida Sans Unicode"/>
          <w:iCs/>
        </w:rPr>
        <w:t>as he considered</w:t>
      </w:r>
      <w:r w:rsidR="00625295">
        <w:rPr>
          <w:rFonts w:eastAsia="Lucida Sans Unicode"/>
          <w:iCs/>
        </w:rPr>
        <w:t>,</w:t>
      </w:r>
      <w:r w:rsidR="00C95D29">
        <w:rPr>
          <w:rFonts w:eastAsia="Lucida Sans Unicode"/>
          <w:iCs/>
        </w:rPr>
        <w:t xml:space="preserve"> on the evidence submitted</w:t>
      </w:r>
      <w:r w:rsidR="00625295">
        <w:rPr>
          <w:rFonts w:eastAsia="Lucida Sans Unicode"/>
          <w:iCs/>
        </w:rPr>
        <w:t>,</w:t>
      </w:r>
      <w:r w:rsidR="00C95D29">
        <w:rPr>
          <w:rFonts w:eastAsia="Lucida Sans Unicode"/>
          <w:iCs/>
        </w:rPr>
        <w:t xml:space="preserve"> that </w:t>
      </w:r>
      <w:r w:rsidR="00E800AE">
        <w:rPr>
          <w:rFonts w:eastAsia="Lucida Sans Unicode"/>
          <w:iCs/>
        </w:rPr>
        <w:t xml:space="preserve">one of the two </w:t>
      </w:r>
      <w:r w:rsidR="00724DA8">
        <w:rPr>
          <w:rFonts w:eastAsia="Lucida Sans Unicode"/>
          <w:iCs/>
        </w:rPr>
        <w:t>other requirements – th</w:t>
      </w:r>
      <w:r w:rsidR="00E800AE">
        <w:rPr>
          <w:rFonts w:eastAsia="Lucida Sans Unicode"/>
          <w:iCs/>
        </w:rPr>
        <w:t>at</w:t>
      </w:r>
      <w:r w:rsidR="00C7300B">
        <w:rPr>
          <w:rFonts w:eastAsia="Lucida Sans Unicode"/>
          <w:iCs/>
        </w:rPr>
        <w:t xml:space="preserve"> </w:t>
      </w:r>
      <w:r w:rsidR="00724DA8">
        <w:rPr>
          <w:rFonts w:eastAsia="Lucida Sans Unicode"/>
          <w:iCs/>
        </w:rPr>
        <w:t xml:space="preserve">of a demonstrable need </w:t>
      </w:r>
      <w:r w:rsidR="0018036A">
        <w:rPr>
          <w:rFonts w:eastAsia="Lucida Sans Unicode"/>
          <w:iCs/>
        </w:rPr>
        <w:t>–</w:t>
      </w:r>
      <w:r w:rsidR="00724DA8">
        <w:rPr>
          <w:rFonts w:eastAsia="Lucida Sans Unicode"/>
          <w:iCs/>
        </w:rPr>
        <w:t xml:space="preserve"> </w:t>
      </w:r>
      <w:r w:rsidR="0018036A">
        <w:rPr>
          <w:rFonts w:eastAsia="Lucida Sans Unicode"/>
          <w:iCs/>
        </w:rPr>
        <w:t>w</w:t>
      </w:r>
      <w:r w:rsidR="00C7300B">
        <w:rPr>
          <w:rFonts w:eastAsia="Lucida Sans Unicode"/>
          <w:iCs/>
        </w:rPr>
        <w:t>as</w:t>
      </w:r>
      <w:r w:rsidR="0018036A">
        <w:rPr>
          <w:rFonts w:eastAsia="Lucida Sans Unicode"/>
          <w:iCs/>
        </w:rPr>
        <w:t>e not met</w:t>
      </w:r>
      <w:r w:rsidR="00C7300B">
        <w:rPr>
          <w:rFonts w:eastAsia="Lucida Sans Unicode"/>
          <w:iCs/>
        </w:rPr>
        <w:t xml:space="preserve"> for a holiday let</w:t>
      </w:r>
      <w:r w:rsidR="0018036A">
        <w:rPr>
          <w:rFonts w:eastAsia="Lucida Sans Unicode"/>
          <w:iCs/>
        </w:rPr>
        <w:t>.</w:t>
      </w:r>
    </w:p>
    <w:p w14:paraId="047347BC" w14:textId="2522A2D1" w:rsidR="0018036A" w:rsidRDefault="0018036A" w:rsidP="008A625B">
      <w:pPr>
        <w:tabs>
          <w:tab w:val="left" w:pos="284"/>
        </w:tabs>
        <w:autoSpaceDE w:val="0"/>
        <w:autoSpaceDN w:val="0"/>
        <w:adjustRightInd w:val="0"/>
        <w:spacing w:line="360" w:lineRule="auto"/>
        <w:ind w:firstLine="0"/>
        <w:jc w:val="left"/>
        <w:rPr>
          <w:rFonts w:eastAsia="Lucida Sans Unicode"/>
          <w:iCs/>
        </w:rPr>
      </w:pPr>
      <w:r>
        <w:rPr>
          <w:rFonts w:eastAsia="Lucida Sans Unicode"/>
          <w:iCs/>
        </w:rPr>
        <w:t>Th</w:t>
      </w:r>
      <w:r w:rsidR="00134101">
        <w:rPr>
          <w:rFonts w:eastAsia="Lucida Sans Unicode"/>
          <w:iCs/>
        </w:rPr>
        <w:t>is, and the other requirement relating to sustainability</w:t>
      </w:r>
      <w:r w:rsidR="00316660">
        <w:rPr>
          <w:rFonts w:eastAsia="Lucida Sans Unicode"/>
          <w:iCs/>
        </w:rPr>
        <w:t>,</w:t>
      </w:r>
      <w:r>
        <w:rPr>
          <w:rFonts w:eastAsia="Lucida Sans Unicode"/>
          <w:iCs/>
        </w:rPr>
        <w:t xml:space="preserve"> are addressed below</w:t>
      </w:r>
      <w:r w:rsidR="006651B3">
        <w:rPr>
          <w:rFonts w:eastAsia="Lucida Sans Unicode"/>
          <w:iCs/>
        </w:rPr>
        <w:t>.</w:t>
      </w:r>
    </w:p>
    <w:p w14:paraId="2BF6644B" w14:textId="77777777" w:rsidR="00ED66B3" w:rsidRPr="00ED66B3" w:rsidRDefault="00ED66B3" w:rsidP="00ED66B3">
      <w:pPr>
        <w:tabs>
          <w:tab w:val="left" w:pos="3594"/>
        </w:tabs>
        <w:spacing w:line="360" w:lineRule="auto"/>
        <w:ind w:firstLine="0"/>
        <w:jc w:val="left"/>
        <w:rPr>
          <w:rFonts w:eastAsia="Lucida Sans Unicode"/>
          <w:u w:val="single"/>
        </w:rPr>
      </w:pPr>
      <w:r w:rsidRPr="00ED66B3">
        <w:rPr>
          <w:rFonts w:eastAsia="Lucida Sans Unicode"/>
          <w:u w:val="single"/>
        </w:rPr>
        <w:t>Demonstrable unmet need for the type of development proposed</w:t>
      </w:r>
    </w:p>
    <w:p w14:paraId="0ABD281F" w14:textId="22AC2106" w:rsidR="00ED66B3" w:rsidRDefault="00ED66B3" w:rsidP="00ED66B3">
      <w:pPr>
        <w:tabs>
          <w:tab w:val="left" w:pos="3594"/>
        </w:tabs>
        <w:spacing w:line="360" w:lineRule="auto"/>
        <w:ind w:firstLine="0"/>
        <w:jc w:val="left"/>
        <w:rPr>
          <w:rFonts w:eastAsia="Lucida Sans Unicode"/>
        </w:rPr>
      </w:pPr>
      <w:r w:rsidRPr="00407354">
        <w:rPr>
          <w:rFonts w:eastAsia="Lucida Sans Unicode"/>
        </w:rPr>
        <w:t xml:space="preserve">The Framework includes </w:t>
      </w:r>
      <w:r>
        <w:rPr>
          <w:rFonts w:eastAsia="Lucida Sans Unicode"/>
        </w:rPr>
        <w:t xml:space="preserve">a </w:t>
      </w:r>
      <w:r w:rsidRPr="00407354">
        <w:rPr>
          <w:rFonts w:eastAsia="Lucida Sans Unicode"/>
        </w:rPr>
        <w:t xml:space="preserve"> definition of unmet need </w:t>
      </w:r>
      <w:r>
        <w:rPr>
          <w:rFonts w:eastAsia="Lucida Sans Unicode"/>
        </w:rPr>
        <w:t xml:space="preserve">with regard to housing developments. </w:t>
      </w:r>
      <w:r w:rsidRPr="00407354">
        <w:rPr>
          <w:rFonts w:eastAsia="Lucida Sans Unicode"/>
        </w:rPr>
        <w:t xml:space="preserve"> </w:t>
      </w:r>
      <w:r>
        <w:rPr>
          <w:rFonts w:eastAsia="Lucida Sans Unicode"/>
        </w:rPr>
        <w:t>Its footnote 56  defines it as follows: -</w:t>
      </w:r>
    </w:p>
    <w:p w14:paraId="710B3EE6" w14:textId="32FA083B" w:rsidR="00ED66B3" w:rsidRPr="00FA2CF9" w:rsidRDefault="00ED66B3" w:rsidP="00ED66B3">
      <w:pPr>
        <w:numPr>
          <w:ilvl w:val="1"/>
          <w:numId w:val="3"/>
        </w:numPr>
        <w:autoSpaceDE w:val="0"/>
        <w:autoSpaceDN w:val="0"/>
        <w:adjustRightInd w:val="0"/>
        <w:spacing w:after="0" w:line="360" w:lineRule="auto"/>
        <w:ind w:firstLine="0"/>
        <w:jc w:val="left"/>
        <w:rPr>
          <w:i/>
          <w:iCs/>
          <w:color w:val="000000"/>
        </w:rPr>
      </w:pPr>
      <w:r w:rsidRPr="00FA2CF9">
        <w:rPr>
          <w:i/>
          <w:iCs/>
          <w:color w:val="000000"/>
        </w:rPr>
        <w:t>‘</w:t>
      </w:r>
      <w:r w:rsidR="008D6B17">
        <w:rPr>
          <w:i/>
          <w:iCs/>
          <w:color w:val="000000"/>
        </w:rPr>
        <w:t>I</w:t>
      </w:r>
      <w:r w:rsidRPr="00FA2CF9">
        <w:rPr>
          <w:i/>
          <w:iCs/>
          <w:color w:val="000000"/>
        </w:rPr>
        <w:t xml:space="preserve">n the case of applications involving the provision of housing, means the lack of a five year supply of deliverable housing sites, including the relevant buffer where applicable, or where the Housing Delivery Tests was below 75% of the housing requirement over the previous three years ‘ </w:t>
      </w:r>
    </w:p>
    <w:p w14:paraId="5778E9AD" w14:textId="77777777" w:rsidR="00ED66B3" w:rsidRPr="00FA2CF9" w:rsidRDefault="00ED66B3" w:rsidP="00ED66B3">
      <w:pPr>
        <w:numPr>
          <w:ilvl w:val="1"/>
          <w:numId w:val="3"/>
        </w:numPr>
        <w:autoSpaceDE w:val="0"/>
        <w:autoSpaceDN w:val="0"/>
        <w:adjustRightInd w:val="0"/>
        <w:spacing w:after="0" w:line="360" w:lineRule="auto"/>
        <w:ind w:firstLine="0"/>
        <w:jc w:val="left"/>
        <w:rPr>
          <w:i/>
          <w:iCs/>
          <w:color w:val="000000"/>
        </w:rPr>
      </w:pPr>
    </w:p>
    <w:p w14:paraId="1263696F" w14:textId="77777777" w:rsidR="00AF380F" w:rsidRDefault="00ED66B3" w:rsidP="00ED66B3">
      <w:pPr>
        <w:pStyle w:val="ListParagraph"/>
        <w:widowControl w:val="0"/>
        <w:numPr>
          <w:ilvl w:val="0"/>
          <w:numId w:val="3"/>
        </w:numPr>
        <w:tabs>
          <w:tab w:val="left" w:pos="3594"/>
        </w:tabs>
        <w:suppressAutoHyphens/>
        <w:spacing w:after="0" w:line="360" w:lineRule="auto"/>
        <w:ind w:left="0" w:firstLine="0"/>
        <w:contextualSpacing w:val="0"/>
        <w:jc w:val="left"/>
      </w:pPr>
      <w:r w:rsidRPr="00AD5FDF">
        <w:t xml:space="preserve">Thus, there is an unmet need if the Council cannot demonstrate a minimum 5-year </w:t>
      </w:r>
    </w:p>
    <w:p w14:paraId="54A96FE2" w14:textId="5BF2F30F" w:rsidR="00ED66B3" w:rsidRPr="00AD5FDF" w:rsidRDefault="00ED66B3" w:rsidP="00ED66B3">
      <w:pPr>
        <w:pStyle w:val="ListParagraph"/>
        <w:widowControl w:val="0"/>
        <w:numPr>
          <w:ilvl w:val="0"/>
          <w:numId w:val="3"/>
        </w:numPr>
        <w:tabs>
          <w:tab w:val="left" w:pos="3594"/>
        </w:tabs>
        <w:suppressAutoHyphens/>
        <w:spacing w:after="0" w:line="360" w:lineRule="auto"/>
        <w:ind w:left="0" w:firstLine="0"/>
        <w:contextualSpacing w:val="0"/>
        <w:jc w:val="left"/>
      </w:pPr>
      <w:r w:rsidRPr="00AD5FDF">
        <w:t xml:space="preserve">deliverable supply of housing land, or else if the number of completed dwellings is deemed to be insufficient according to the Housing Delivery Test which applies to it. </w:t>
      </w:r>
    </w:p>
    <w:p w14:paraId="09DB8A68" w14:textId="77777777" w:rsidR="00497BC2" w:rsidRDefault="00497BC2" w:rsidP="00C35BA9">
      <w:pPr>
        <w:pStyle w:val="Default"/>
        <w:spacing w:line="360" w:lineRule="auto"/>
        <w:rPr>
          <w:rFonts w:eastAsia="Lucida Sans Unicode"/>
          <w:iCs/>
        </w:rPr>
      </w:pPr>
    </w:p>
    <w:p w14:paraId="7C66E981" w14:textId="08B45989" w:rsidR="00C35BA9" w:rsidRDefault="00AF380F" w:rsidP="00C35BA9">
      <w:pPr>
        <w:pStyle w:val="Default"/>
        <w:spacing w:line="360" w:lineRule="auto"/>
        <w:rPr>
          <w:rFonts w:eastAsia="Lucida Sans Unicode"/>
          <w:iCs/>
          <w:color w:val="auto"/>
          <w:kern w:val="36"/>
          <w14:ligatures w14:val="none"/>
        </w:rPr>
      </w:pPr>
      <w:r w:rsidRPr="00C35BA9">
        <w:rPr>
          <w:rFonts w:eastAsia="Lucida Sans Unicode"/>
          <w:iCs/>
        </w:rPr>
        <w:t xml:space="preserve">Moreover, paragraph 78 of the Framework </w:t>
      </w:r>
      <w:r w:rsidR="00C35BA9" w:rsidRPr="00C35BA9">
        <w:rPr>
          <w:rFonts w:eastAsia="Lucida Sans Unicode"/>
          <w:iCs/>
        </w:rPr>
        <w:t>states that ‘</w:t>
      </w:r>
      <w:r w:rsidR="00C35BA9" w:rsidRPr="00C35BA9">
        <w:rPr>
          <w:i/>
          <w:iCs/>
        </w:rPr>
        <w:t xml:space="preserve">Local planning authorities should identify and update annually a supply of specific deliverable sites sufficient to </w:t>
      </w:r>
      <w:r w:rsidR="00C35BA9" w:rsidRPr="00C35BA9">
        <w:rPr>
          <w:i/>
          <w:iCs/>
        </w:rPr>
        <w:lastRenderedPageBreak/>
        <w:t>provide a minimum of five years’ worth of housing against their housing requirement set out in adopted strategic policies</w:t>
      </w:r>
      <w:r w:rsidR="00C35BA9">
        <w:rPr>
          <w:rFonts w:eastAsia="Lucida Sans Unicode"/>
          <w:iCs/>
          <w:color w:val="auto"/>
          <w:kern w:val="36"/>
          <w14:ligatures w14:val="none"/>
        </w:rPr>
        <w:t>.</w:t>
      </w:r>
    </w:p>
    <w:p w14:paraId="1BDE307C" w14:textId="77777777" w:rsidR="00FF2D37" w:rsidRDefault="00FF2D37" w:rsidP="00C35BA9">
      <w:pPr>
        <w:pStyle w:val="Default"/>
        <w:spacing w:line="360" w:lineRule="auto"/>
        <w:rPr>
          <w:rFonts w:eastAsia="Lucida Sans Unicode"/>
          <w:iCs/>
          <w:color w:val="auto"/>
          <w:kern w:val="36"/>
          <w14:ligatures w14:val="none"/>
        </w:rPr>
      </w:pPr>
    </w:p>
    <w:p w14:paraId="0A995707" w14:textId="6B704BB2" w:rsidR="000C0C50" w:rsidRDefault="009F2400" w:rsidP="00C35BA9">
      <w:pPr>
        <w:pStyle w:val="Default"/>
        <w:spacing w:line="360" w:lineRule="auto"/>
        <w:rPr>
          <w:rFonts w:eastAsia="Lucida Sans Unicode"/>
          <w:iCs/>
          <w:color w:val="auto"/>
          <w:kern w:val="36"/>
          <w14:ligatures w14:val="none"/>
        </w:rPr>
      </w:pPr>
      <w:r>
        <w:rPr>
          <w:rFonts w:eastAsia="Lucida Sans Unicode"/>
          <w:iCs/>
          <w:color w:val="auto"/>
          <w:kern w:val="36"/>
          <w14:ligatures w14:val="none"/>
        </w:rPr>
        <w:t xml:space="preserve">It would seem that the LPA has failed to do this, with its </w:t>
      </w:r>
      <w:r w:rsidR="00293D0B">
        <w:rPr>
          <w:rFonts w:eastAsia="Lucida Sans Unicode"/>
          <w:iCs/>
          <w:color w:val="auto"/>
          <w:kern w:val="36"/>
          <w14:ligatures w14:val="none"/>
        </w:rPr>
        <w:t xml:space="preserve">latest monitoring report applying to 2022-23. </w:t>
      </w:r>
      <w:r w:rsidR="00051211">
        <w:rPr>
          <w:rFonts w:eastAsia="Lucida Sans Unicode"/>
          <w:iCs/>
          <w:color w:val="auto"/>
          <w:kern w:val="36"/>
          <w14:ligatures w14:val="none"/>
        </w:rPr>
        <w:t xml:space="preserve">It states </w:t>
      </w:r>
      <w:r w:rsidR="00FF2D37">
        <w:rPr>
          <w:rFonts w:eastAsia="Lucida Sans Unicode"/>
          <w:iCs/>
          <w:color w:val="auto"/>
          <w:kern w:val="36"/>
          <w14:ligatures w14:val="none"/>
        </w:rPr>
        <w:t>that</w:t>
      </w:r>
      <w:r w:rsidR="00051211">
        <w:rPr>
          <w:rFonts w:eastAsia="Lucida Sans Unicode"/>
          <w:iCs/>
          <w:color w:val="auto"/>
          <w:kern w:val="36"/>
          <w14:ligatures w14:val="none"/>
        </w:rPr>
        <w:t xml:space="preserve"> this has been update</w:t>
      </w:r>
      <w:r w:rsidR="00FF2D37">
        <w:rPr>
          <w:rFonts w:eastAsia="Lucida Sans Unicode"/>
          <w:iCs/>
          <w:color w:val="auto"/>
          <w:kern w:val="36"/>
          <w14:ligatures w14:val="none"/>
        </w:rPr>
        <w:t>d</w:t>
      </w:r>
      <w:r w:rsidR="00051211">
        <w:rPr>
          <w:rFonts w:eastAsia="Lucida Sans Unicode"/>
          <w:iCs/>
          <w:color w:val="auto"/>
          <w:kern w:val="36"/>
          <w14:ligatures w14:val="none"/>
        </w:rPr>
        <w:t xml:space="preserve"> in 2025, but it is not at all clear as to the nature of any such up</w:t>
      </w:r>
      <w:r w:rsidR="000C0C50">
        <w:rPr>
          <w:rFonts w:eastAsia="Lucida Sans Unicode"/>
          <w:iCs/>
          <w:color w:val="auto"/>
          <w:kern w:val="36"/>
          <w14:ligatures w14:val="none"/>
        </w:rPr>
        <w:t>date.</w:t>
      </w:r>
      <w:r w:rsidR="0039195B">
        <w:rPr>
          <w:rFonts w:eastAsia="Lucida Sans Unicode"/>
          <w:iCs/>
          <w:color w:val="auto"/>
          <w:kern w:val="36"/>
          <w14:ligatures w14:val="none"/>
        </w:rPr>
        <w:t xml:space="preserve"> The figures on housing supply still only refer to no later than 2022-23</w:t>
      </w:r>
    </w:p>
    <w:p w14:paraId="01B04112" w14:textId="77777777" w:rsidR="002610E0" w:rsidRDefault="002610E0" w:rsidP="00C35BA9">
      <w:pPr>
        <w:pStyle w:val="Default"/>
        <w:spacing w:line="360" w:lineRule="auto"/>
        <w:rPr>
          <w:rFonts w:eastAsia="Lucida Sans Unicode"/>
          <w:iCs/>
          <w:color w:val="auto"/>
          <w:kern w:val="36"/>
          <w14:ligatures w14:val="none"/>
        </w:rPr>
      </w:pPr>
    </w:p>
    <w:p w14:paraId="6BF21059" w14:textId="23F001BA" w:rsidR="004F6C42" w:rsidRDefault="000C0C50" w:rsidP="00C35BA9">
      <w:pPr>
        <w:pStyle w:val="Default"/>
        <w:spacing w:line="360" w:lineRule="auto"/>
        <w:rPr>
          <w:rFonts w:eastAsia="Lucida Sans Unicode"/>
          <w:iCs/>
          <w:color w:val="auto"/>
          <w:kern w:val="36"/>
          <w14:ligatures w14:val="none"/>
        </w:rPr>
      </w:pPr>
      <w:r>
        <w:rPr>
          <w:rFonts w:eastAsia="Lucida Sans Unicode"/>
          <w:iCs/>
          <w:color w:val="auto"/>
          <w:kern w:val="36"/>
          <w14:ligatures w14:val="none"/>
        </w:rPr>
        <w:t xml:space="preserve">Moreover, while the monitoring report indicates that </w:t>
      </w:r>
      <w:r w:rsidR="00BE256C">
        <w:rPr>
          <w:rFonts w:eastAsia="Lucida Sans Unicode"/>
          <w:iCs/>
          <w:color w:val="auto"/>
          <w:kern w:val="36"/>
          <w14:ligatures w14:val="none"/>
        </w:rPr>
        <w:t>its</w:t>
      </w:r>
      <w:r w:rsidR="003E136B">
        <w:rPr>
          <w:rFonts w:eastAsia="Lucida Sans Unicode"/>
          <w:iCs/>
          <w:color w:val="auto"/>
          <w:kern w:val="36"/>
          <w14:ligatures w14:val="none"/>
        </w:rPr>
        <w:t xml:space="preserve"> housing target</w:t>
      </w:r>
      <w:r w:rsidR="00AD58E8">
        <w:rPr>
          <w:rFonts w:eastAsia="Lucida Sans Unicode"/>
          <w:iCs/>
          <w:color w:val="auto"/>
          <w:kern w:val="36"/>
          <w14:ligatures w14:val="none"/>
        </w:rPr>
        <w:t xml:space="preserve"> is 520 additional homes per year for the period 2012-2028</w:t>
      </w:r>
      <w:r w:rsidR="003E136B">
        <w:rPr>
          <w:rFonts w:eastAsia="Lucida Sans Unicode"/>
          <w:iCs/>
          <w:color w:val="auto"/>
          <w:kern w:val="36"/>
          <w14:ligatures w14:val="none"/>
        </w:rPr>
        <w:t xml:space="preserve">, its new target from 2025 is now </w:t>
      </w:r>
      <w:r w:rsidR="00146CEE">
        <w:rPr>
          <w:rFonts w:eastAsia="Lucida Sans Unicode"/>
          <w:iCs/>
          <w:color w:val="auto"/>
          <w:kern w:val="36"/>
          <w14:ligatures w14:val="none"/>
        </w:rPr>
        <w:t>9</w:t>
      </w:r>
      <w:r w:rsidR="0029220A">
        <w:rPr>
          <w:rFonts w:eastAsia="Lucida Sans Unicode"/>
          <w:iCs/>
          <w:color w:val="auto"/>
          <w:kern w:val="36"/>
          <w14:ligatures w14:val="none"/>
        </w:rPr>
        <w:t>18 ne</w:t>
      </w:r>
      <w:r w:rsidR="007664EF">
        <w:rPr>
          <w:rFonts w:eastAsia="Lucida Sans Unicode"/>
          <w:iCs/>
          <w:color w:val="auto"/>
          <w:kern w:val="36"/>
          <w14:ligatures w14:val="none"/>
        </w:rPr>
        <w:t>t</w:t>
      </w:r>
      <w:r w:rsidR="0029220A">
        <w:rPr>
          <w:rFonts w:eastAsia="Lucida Sans Unicode"/>
          <w:iCs/>
          <w:color w:val="auto"/>
          <w:kern w:val="36"/>
          <w14:ligatures w14:val="none"/>
        </w:rPr>
        <w:t xml:space="preserve"> </w:t>
      </w:r>
      <w:r w:rsidR="00D762DC">
        <w:rPr>
          <w:rFonts w:eastAsia="Lucida Sans Unicode"/>
          <w:iCs/>
          <w:color w:val="auto"/>
          <w:kern w:val="36"/>
          <w14:ligatures w14:val="none"/>
        </w:rPr>
        <w:t>completions</w:t>
      </w:r>
      <w:r w:rsidR="0029220A">
        <w:rPr>
          <w:rFonts w:eastAsia="Lucida Sans Unicode"/>
          <w:iCs/>
          <w:color w:val="auto"/>
          <w:kern w:val="36"/>
          <w14:ligatures w14:val="none"/>
        </w:rPr>
        <w:t xml:space="preserve"> per year</w:t>
      </w:r>
      <w:r w:rsidR="00C61823">
        <w:rPr>
          <w:rFonts w:eastAsia="Lucida Sans Unicode"/>
          <w:iCs/>
          <w:color w:val="auto"/>
          <w:kern w:val="36"/>
          <w14:ligatures w14:val="none"/>
        </w:rPr>
        <w:t>, announced by Government in 2024</w:t>
      </w:r>
      <w:r w:rsidR="00D762DC">
        <w:rPr>
          <w:rFonts w:eastAsia="Lucida Sans Unicode"/>
          <w:iCs/>
          <w:color w:val="auto"/>
          <w:kern w:val="36"/>
          <w14:ligatures w14:val="none"/>
        </w:rPr>
        <w:t xml:space="preserve">. There is no </w:t>
      </w:r>
      <w:r w:rsidR="00B27A2E">
        <w:rPr>
          <w:rFonts w:eastAsia="Lucida Sans Unicode"/>
          <w:iCs/>
          <w:color w:val="auto"/>
          <w:kern w:val="36"/>
          <w14:ligatures w14:val="none"/>
        </w:rPr>
        <w:t>evidence</w:t>
      </w:r>
      <w:r w:rsidR="0059208D">
        <w:rPr>
          <w:rFonts w:eastAsia="Lucida Sans Unicode"/>
          <w:iCs/>
          <w:color w:val="auto"/>
          <w:kern w:val="36"/>
          <w14:ligatures w14:val="none"/>
        </w:rPr>
        <w:t xml:space="preserve"> to indicate that </w:t>
      </w:r>
      <w:r w:rsidR="00657E06">
        <w:rPr>
          <w:rFonts w:eastAsia="Lucida Sans Unicode"/>
          <w:iCs/>
          <w:color w:val="auto"/>
          <w:kern w:val="36"/>
          <w14:ligatures w14:val="none"/>
        </w:rPr>
        <w:t xml:space="preserve">the Council can demonstrate such a level of required housing supply. </w:t>
      </w:r>
    </w:p>
    <w:p w14:paraId="062577C4" w14:textId="77777777" w:rsidR="00B3086B" w:rsidRDefault="00B3086B" w:rsidP="00C35BA9">
      <w:pPr>
        <w:pStyle w:val="Default"/>
        <w:spacing w:line="360" w:lineRule="auto"/>
        <w:rPr>
          <w:rFonts w:eastAsia="Lucida Sans Unicode"/>
          <w:iCs/>
          <w:color w:val="auto"/>
          <w:kern w:val="36"/>
          <w14:ligatures w14:val="none"/>
        </w:rPr>
      </w:pPr>
    </w:p>
    <w:p w14:paraId="7D389FB1" w14:textId="21BAA4E2" w:rsidR="00B3086B" w:rsidRDefault="00491007" w:rsidP="00C35BA9">
      <w:pPr>
        <w:pStyle w:val="Default"/>
        <w:spacing w:line="360" w:lineRule="auto"/>
        <w:rPr>
          <w:rFonts w:eastAsia="Lucida Sans Unicode"/>
          <w:iCs/>
          <w:color w:val="auto"/>
          <w:kern w:val="36"/>
          <w14:ligatures w14:val="none"/>
        </w:rPr>
      </w:pPr>
      <w:r>
        <w:rPr>
          <w:rFonts w:eastAsia="Lucida Sans Unicode"/>
          <w:iCs/>
          <w:color w:val="auto"/>
          <w:kern w:val="36"/>
          <w14:ligatures w14:val="none"/>
        </w:rPr>
        <w:t>The Greater Manchester Development Plan Monitoring report (December 2024) indicates th</w:t>
      </w:r>
      <w:r w:rsidR="00EE0903">
        <w:rPr>
          <w:rFonts w:eastAsia="Lucida Sans Unicode"/>
          <w:iCs/>
          <w:color w:val="auto"/>
          <w:kern w:val="36"/>
          <w14:ligatures w14:val="none"/>
        </w:rPr>
        <w:t>at net completions in Rochdale in 2023-24 was 6</w:t>
      </w:r>
      <w:r w:rsidR="00932775">
        <w:rPr>
          <w:rFonts w:eastAsia="Lucida Sans Unicode"/>
          <w:iCs/>
          <w:color w:val="auto"/>
          <w:kern w:val="36"/>
          <w14:ligatures w14:val="none"/>
        </w:rPr>
        <w:t xml:space="preserve">81 dwellings. However, this falls short of the new housing target by a considerable way. </w:t>
      </w:r>
      <w:r w:rsidR="00622722">
        <w:rPr>
          <w:rFonts w:eastAsia="Lucida Sans Unicode"/>
          <w:iCs/>
          <w:color w:val="auto"/>
          <w:kern w:val="36"/>
          <w14:ligatures w14:val="none"/>
        </w:rPr>
        <w:t>The report would seem to indicate that the average completion rate</w:t>
      </w:r>
      <w:r w:rsidR="00D01419">
        <w:rPr>
          <w:rFonts w:eastAsia="Lucida Sans Unicode"/>
          <w:iCs/>
          <w:color w:val="auto"/>
          <w:kern w:val="36"/>
          <w14:ligatures w14:val="none"/>
        </w:rPr>
        <w:t xml:space="preserve"> </w:t>
      </w:r>
      <w:r w:rsidR="00622722">
        <w:rPr>
          <w:rFonts w:eastAsia="Lucida Sans Unicode"/>
          <w:iCs/>
          <w:color w:val="auto"/>
          <w:kern w:val="36"/>
          <w14:ligatures w14:val="none"/>
        </w:rPr>
        <w:t xml:space="preserve">for the previous three years to December 2024 </w:t>
      </w:r>
      <w:r w:rsidR="00D01419">
        <w:rPr>
          <w:rFonts w:eastAsia="Lucida Sans Unicode"/>
          <w:iCs/>
          <w:color w:val="auto"/>
          <w:kern w:val="36"/>
          <w14:ligatures w14:val="none"/>
        </w:rPr>
        <w:t xml:space="preserve">was 568 dwellings. </w:t>
      </w:r>
    </w:p>
    <w:p w14:paraId="6D58093C" w14:textId="77777777" w:rsidR="006F065E" w:rsidRDefault="006F065E" w:rsidP="00535211">
      <w:pPr>
        <w:pStyle w:val="Default"/>
        <w:spacing w:line="360" w:lineRule="auto"/>
        <w:rPr>
          <w:rFonts w:eastAsia="Lucida Sans Unicode"/>
          <w:iCs/>
          <w:color w:val="auto"/>
          <w:kern w:val="36"/>
          <w14:ligatures w14:val="none"/>
        </w:rPr>
      </w:pPr>
    </w:p>
    <w:p w14:paraId="2A19461E" w14:textId="5938A67E" w:rsidR="00C35BA9" w:rsidRDefault="004F6C42" w:rsidP="00535211">
      <w:pPr>
        <w:pStyle w:val="Default"/>
        <w:spacing w:line="360" w:lineRule="auto"/>
        <w:rPr>
          <w:rFonts w:eastAsia="Lucida Sans Unicode"/>
          <w:iCs/>
          <w:color w:val="auto"/>
          <w:kern w:val="36"/>
          <w14:ligatures w14:val="none"/>
        </w:rPr>
      </w:pPr>
      <w:r>
        <w:rPr>
          <w:rFonts w:eastAsia="Lucida Sans Unicode"/>
          <w:iCs/>
          <w:color w:val="auto"/>
          <w:kern w:val="36"/>
          <w14:ligatures w14:val="none"/>
        </w:rPr>
        <w:t xml:space="preserve">Even before </w:t>
      </w:r>
      <w:r w:rsidR="000E5D26">
        <w:rPr>
          <w:rFonts w:eastAsia="Lucida Sans Unicode"/>
          <w:iCs/>
          <w:color w:val="auto"/>
          <w:kern w:val="36"/>
          <w14:ligatures w14:val="none"/>
        </w:rPr>
        <w:t xml:space="preserve">the increase in its housing target, the Council has been aware of the </w:t>
      </w:r>
      <w:r w:rsidR="001B519F">
        <w:rPr>
          <w:rFonts w:eastAsia="Lucida Sans Unicode"/>
          <w:iCs/>
          <w:color w:val="auto"/>
          <w:kern w:val="36"/>
          <w14:ligatures w14:val="none"/>
        </w:rPr>
        <w:t xml:space="preserve">housing crisis </w:t>
      </w:r>
      <w:r w:rsidR="0009559A">
        <w:rPr>
          <w:rFonts w:eastAsia="Lucida Sans Unicode"/>
          <w:iCs/>
          <w:color w:val="auto"/>
          <w:kern w:val="36"/>
          <w14:ligatures w14:val="none"/>
        </w:rPr>
        <w:t>in its area, dec</w:t>
      </w:r>
      <w:r w:rsidR="003615CE">
        <w:rPr>
          <w:rFonts w:eastAsia="Lucida Sans Unicode"/>
          <w:iCs/>
          <w:color w:val="auto"/>
          <w:kern w:val="36"/>
          <w14:ligatures w14:val="none"/>
        </w:rPr>
        <w:t>laring</w:t>
      </w:r>
      <w:r w:rsidR="0009559A">
        <w:rPr>
          <w:rFonts w:eastAsia="Lucida Sans Unicode"/>
          <w:iCs/>
          <w:color w:val="auto"/>
          <w:kern w:val="36"/>
          <w14:ligatures w14:val="none"/>
        </w:rPr>
        <w:t xml:space="preserve"> a housing crisis </w:t>
      </w:r>
      <w:r w:rsidR="003615CE">
        <w:rPr>
          <w:rFonts w:eastAsia="Lucida Sans Unicode"/>
          <w:iCs/>
          <w:color w:val="auto"/>
          <w:kern w:val="36"/>
          <w14:ligatures w14:val="none"/>
        </w:rPr>
        <w:t xml:space="preserve">in 2022-3 </w:t>
      </w:r>
      <w:r w:rsidR="00535211">
        <w:rPr>
          <w:rFonts w:eastAsia="Lucida Sans Unicode"/>
          <w:iCs/>
          <w:color w:val="auto"/>
          <w:kern w:val="36"/>
          <w14:ligatures w14:val="none"/>
        </w:rPr>
        <w:t xml:space="preserve">in an attempt to address it. In such circumstances, </w:t>
      </w:r>
      <w:r w:rsidR="000E12C0">
        <w:rPr>
          <w:rFonts w:eastAsia="Lucida Sans Unicode"/>
          <w:iCs/>
          <w:color w:val="auto"/>
          <w:kern w:val="36"/>
          <w14:ligatures w14:val="none"/>
        </w:rPr>
        <w:t>even the earlier housing target did not set an upper limit.</w:t>
      </w:r>
      <w:r w:rsidR="00486C89">
        <w:rPr>
          <w:rFonts w:eastAsia="Lucida Sans Unicode"/>
          <w:iCs/>
          <w:color w:val="auto"/>
          <w:kern w:val="36"/>
          <w14:ligatures w14:val="none"/>
        </w:rPr>
        <w:t xml:space="preserve"> </w:t>
      </w:r>
    </w:p>
    <w:p w14:paraId="4A08C283" w14:textId="77777777" w:rsidR="00E67283" w:rsidRDefault="00E67283" w:rsidP="00535211">
      <w:pPr>
        <w:pStyle w:val="Default"/>
        <w:spacing w:line="360" w:lineRule="auto"/>
        <w:rPr>
          <w:rFonts w:eastAsia="Lucida Sans Unicode"/>
          <w:iCs/>
          <w:color w:val="auto"/>
          <w:kern w:val="36"/>
          <w14:ligatures w14:val="none"/>
        </w:rPr>
      </w:pPr>
    </w:p>
    <w:p w14:paraId="0FDAE849" w14:textId="24474993" w:rsidR="000E02E3" w:rsidRDefault="000E02E3" w:rsidP="00535211">
      <w:pPr>
        <w:pStyle w:val="Default"/>
        <w:spacing w:line="360" w:lineRule="auto"/>
        <w:rPr>
          <w:rFonts w:eastAsia="Lucida Sans Unicode"/>
          <w:iCs/>
          <w:color w:val="auto"/>
          <w:kern w:val="36"/>
          <w14:ligatures w14:val="none"/>
        </w:rPr>
      </w:pPr>
      <w:r>
        <w:rPr>
          <w:rFonts w:eastAsia="Lucida Sans Unicode"/>
          <w:iCs/>
          <w:color w:val="auto"/>
          <w:kern w:val="36"/>
          <w14:ligatures w14:val="none"/>
        </w:rPr>
        <w:t xml:space="preserve">Following its declaration of a housing crisis, </w:t>
      </w:r>
      <w:r w:rsidR="006F065E">
        <w:rPr>
          <w:rFonts w:eastAsia="Lucida Sans Unicode"/>
          <w:iCs/>
          <w:color w:val="auto"/>
          <w:kern w:val="36"/>
          <w14:ligatures w14:val="none"/>
        </w:rPr>
        <w:t>the</w:t>
      </w:r>
      <w:r>
        <w:rPr>
          <w:rFonts w:eastAsia="Lucida Sans Unicode"/>
          <w:iCs/>
          <w:color w:val="auto"/>
          <w:kern w:val="36"/>
          <w14:ligatures w14:val="none"/>
        </w:rPr>
        <w:t xml:space="preserve"> Council has published an </w:t>
      </w:r>
      <w:r w:rsidR="00E67283">
        <w:rPr>
          <w:rFonts w:eastAsia="Lucida Sans Unicode"/>
          <w:iCs/>
          <w:color w:val="auto"/>
          <w:kern w:val="36"/>
          <w14:ligatures w14:val="none"/>
        </w:rPr>
        <w:t>Interim</w:t>
      </w:r>
      <w:r>
        <w:rPr>
          <w:rFonts w:eastAsia="Lucida Sans Unicode"/>
          <w:iCs/>
          <w:color w:val="auto"/>
          <w:kern w:val="36"/>
          <w14:ligatures w14:val="none"/>
        </w:rPr>
        <w:t xml:space="preserve"> Housing Strategy for 2025-27. </w:t>
      </w:r>
      <w:r w:rsidR="00455488">
        <w:rPr>
          <w:rFonts w:eastAsia="Lucida Sans Unicode"/>
          <w:iCs/>
          <w:color w:val="auto"/>
          <w:kern w:val="36"/>
          <w14:ligatures w14:val="none"/>
        </w:rPr>
        <w:t xml:space="preserve">It refers to the poor quality of much if the housing stock in the Borough and to the </w:t>
      </w:r>
      <w:r w:rsidR="00E67283">
        <w:rPr>
          <w:rFonts w:eastAsia="Lucida Sans Unicode"/>
          <w:iCs/>
          <w:color w:val="auto"/>
          <w:kern w:val="36"/>
          <w14:ligatures w14:val="none"/>
        </w:rPr>
        <w:t>acute</w:t>
      </w:r>
      <w:r w:rsidR="00455488">
        <w:rPr>
          <w:rFonts w:eastAsia="Lucida Sans Unicode"/>
          <w:iCs/>
          <w:color w:val="auto"/>
          <w:kern w:val="36"/>
          <w14:ligatures w14:val="none"/>
        </w:rPr>
        <w:t xml:space="preserve"> need for r</w:t>
      </w:r>
      <w:r w:rsidR="00E67283">
        <w:rPr>
          <w:rFonts w:eastAsia="Lucida Sans Unicode"/>
          <w:iCs/>
          <w:color w:val="auto"/>
          <w:kern w:val="36"/>
          <w14:ligatures w14:val="none"/>
        </w:rPr>
        <w:t>e</w:t>
      </w:r>
      <w:r w:rsidR="00455488">
        <w:rPr>
          <w:rFonts w:eastAsia="Lucida Sans Unicode"/>
          <w:iCs/>
          <w:color w:val="auto"/>
          <w:kern w:val="36"/>
          <w14:ligatures w14:val="none"/>
        </w:rPr>
        <w:t>nted accommodatio</w:t>
      </w:r>
      <w:r w:rsidR="00537564">
        <w:rPr>
          <w:rFonts w:eastAsia="Lucida Sans Unicode"/>
          <w:iCs/>
          <w:color w:val="auto"/>
          <w:kern w:val="36"/>
          <w14:ligatures w14:val="none"/>
        </w:rPr>
        <w:t>n, including the great need to resolve th</w:t>
      </w:r>
      <w:r w:rsidR="00E67283">
        <w:rPr>
          <w:rFonts w:eastAsia="Lucida Sans Unicode"/>
          <w:iCs/>
          <w:color w:val="auto"/>
          <w:kern w:val="36"/>
          <w14:ligatures w14:val="none"/>
        </w:rPr>
        <w:t>e</w:t>
      </w:r>
      <w:r w:rsidR="00537564">
        <w:rPr>
          <w:rFonts w:eastAsia="Lucida Sans Unicode"/>
          <w:iCs/>
          <w:color w:val="auto"/>
          <w:kern w:val="36"/>
          <w14:ligatures w14:val="none"/>
        </w:rPr>
        <w:t xml:space="preserve"> unsatisfactory </w:t>
      </w:r>
      <w:r w:rsidR="00FA257F">
        <w:rPr>
          <w:rFonts w:eastAsia="Lucida Sans Unicode"/>
          <w:iCs/>
          <w:color w:val="auto"/>
          <w:kern w:val="36"/>
          <w14:ligatures w14:val="none"/>
        </w:rPr>
        <w:t xml:space="preserve">policy </w:t>
      </w:r>
      <w:r w:rsidR="00537564">
        <w:rPr>
          <w:rFonts w:eastAsia="Lucida Sans Unicode"/>
          <w:iCs/>
          <w:color w:val="auto"/>
          <w:kern w:val="36"/>
          <w14:ligatures w14:val="none"/>
        </w:rPr>
        <w:t xml:space="preserve">of having to house families in bed and breakfast accommodation. As the Government has </w:t>
      </w:r>
      <w:r w:rsidR="00E67283">
        <w:rPr>
          <w:rFonts w:eastAsia="Lucida Sans Unicode"/>
          <w:iCs/>
          <w:color w:val="auto"/>
          <w:kern w:val="36"/>
          <w14:ligatures w14:val="none"/>
        </w:rPr>
        <w:t xml:space="preserve">recently stated, one extra dwelling is one more to help to meet </w:t>
      </w:r>
      <w:r w:rsidR="00FA257F">
        <w:rPr>
          <w:rFonts w:eastAsia="Lucida Sans Unicode"/>
          <w:iCs/>
          <w:color w:val="auto"/>
          <w:kern w:val="36"/>
          <w14:ligatures w14:val="none"/>
        </w:rPr>
        <w:t>a family in need</w:t>
      </w:r>
      <w:r w:rsidR="00E67283">
        <w:rPr>
          <w:rFonts w:eastAsia="Lucida Sans Unicode"/>
          <w:iCs/>
          <w:color w:val="auto"/>
          <w:kern w:val="36"/>
          <w14:ligatures w14:val="none"/>
        </w:rPr>
        <w:t xml:space="preserve">. </w:t>
      </w:r>
    </w:p>
    <w:p w14:paraId="1E284ED3" w14:textId="77777777" w:rsidR="00547B10" w:rsidRDefault="00547B10" w:rsidP="002A5302">
      <w:pPr>
        <w:pStyle w:val="Default"/>
        <w:spacing w:line="360" w:lineRule="auto"/>
        <w:rPr>
          <w:rFonts w:eastAsia="Lucida Sans Unicode"/>
          <w:iCs/>
          <w:color w:val="auto"/>
          <w:kern w:val="36"/>
          <w14:ligatures w14:val="none"/>
        </w:rPr>
      </w:pPr>
    </w:p>
    <w:p w14:paraId="3D30CC4D" w14:textId="6DE2BD57" w:rsidR="00B06CCE" w:rsidRDefault="00B06CCE" w:rsidP="002A5302">
      <w:pPr>
        <w:pStyle w:val="Default"/>
        <w:spacing w:line="360" w:lineRule="auto"/>
        <w:rPr>
          <w:rFonts w:eastAsia="Lucida Sans Unicode"/>
          <w:iCs/>
          <w:color w:val="auto"/>
          <w:kern w:val="36"/>
          <w14:ligatures w14:val="none"/>
        </w:rPr>
      </w:pPr>
      <w:r>
        <w:rPr>
          <w:rFonts w:eastAsia="Lucida Sans Unicode"/>
          <w:iCs/>
          <w:color w:val="auto"/>
          <w:kern w:val="36"/>
          <w14:ligatures w14:val="none"/>
        </w:rPr>
        <w:t xml:space="preserve">The LPA considers that it can rely on the </w:t>
      </w:r>
      <w:r w:rsidR="00071F35">
        <w:rPr>
          <w:rFonts w:eastAsia="Lucida Sans Unicode"/>
          <w:iCs/>
          <w:color w:val="auto"/>
          <w:kern w:val="36"/>
          <w14:ligatures w14:val="none"/>
        </w:rPr>
        <w:t xml:space="preserve">availability of a 5 year supply of demonstrable housing land in the Grater Manchester </w:t>
      </w:r>
      <w:r w:rsidR="008121D0">
        <w:rPr>
          <w:rFonts w:eastAsia="Lucida Sans Unicode"/>
          <w:iCs/>
          <w:color w:val="auto"/>
          <w:kern w:val="36"/>
          <w14:ligatures w14:val="none"/>
        </w:rPr>
        <w:t xml:space="preserve">Development Plan 2024 </w:t>
      </w:r>
      <w:r w:rsidR="008121D0">
        <w:rPr>
          <w:rFonts w:eastAsia="Lucida Sans Unicode"/>
          <w:iCs/>
          <w:color w:val="auto"/>
          <w:kern w:val="36"/>
          <w14:ligatures w14:val="none"/>
        </w:rPr>
        <w:lastRenderedPageBreak/>
        <w:t xml:space="preserve">(‘Planning for Everyone( (PfE) </w:t>
      </w:r>
      <w:r w:rsidR="00D81BFD">
        <w:rPr>
          <w:rFonts w:eastAsia="Lucida Sans Unicode"/>
          <w:iCs/>
          <w:color w:val="auto"/>
          <w:kern w:val="36"/>
          <w14:ligatures w14:val="none"/>
        </w:rPr>
        <w:t xml:space="preserve">but the Government sets targets for individual Councils for housing delivery purposes.. </w:t>
      </w:r>
    </w:p>
    <w:p w14:paraId="676E408E" w14:textId="77777777" w:rsidR="00B13DF2" w:rsidRDefault="00B13DF2" w:rsidP="002A5302">
      <w:pPr>
        <w:pStyle w:val="Default"/>
        <w:spacing w:line="360" w:lineRule="auto"/>
        <w:rPr>
          <w:rFonts w:eastAsia="Lucida Sans Unicode"/>
          <w:iCs/>
          <w:color w:val="auto"/>
          <w:kern w:val="36"/>
          <w14:ligatures w14:val="none"/>
        </w:rPr>
      </w:pPr>
    </w:p>
    <w:p w14:paraId="773BBB42" w14:textId="14482427" w:rsidR="00066279" w:rsidRDefault="00C109E3" w:rsidP="002A5302">
      <w:pPr>
        <w:pStyle w:val="Default"/>
        <w:spacing w:line="360" w:lineRule="auto"/>
        <w:rPr>
          <w:rFonts w:eastAsia="Lucida Sans Unicode"/>
          <w:iCs/>
          <w:color w:val="auto"/>
          <w:kern w:val="36"/>
          <w14:ligatures w14:val="none"/>
        </w:rPr>
      </w:pPr>
      <w:r>
        <w:rPr>
          <w:rFonts w:eastAsia="Lucida Sans Unicode"/>
          <w:iCs/>
          <w:color w:val="auto"/>
          <w:kern w:val="36"/>
          <w14:ligatures w14:val="none"/>
        </w:rPr>
        <w:t>In its email to us of the 9 March 2026 the LP</w:t>
      </w:r>
      <w:r w:rsidR="00D10840">
        <w:rPr>
          <w:rFonts w:eastAsia="Lucida Sans Unicode"/>
          <w:iCs/>
          <w:color w:val="auto"/>
          <w:kern w:val="36"/>
          <w14:ligatures w14:val="none"/>
        </w:rPr>
        <w:t>A</w:t>
      </w:r>
      <w:r>
        <w:rPr>
          <w:rFonts w:eastAsia="Lucida Sans Unicode"/>
          <w:iCs/>
          <w:color w:val="auto"/>
          <w:kern w:val="36"/>
          <w14:ligatures w14:val="none"/>
        </w:rPr>
        <w:t xml:space="preserve"> wrote </w:t>
      </w:r>
      <w:r w:rsidR="0080173A">
        <w:rPr>
          <w:rFonts w:eastAsia="Lucida Sans Unicode"/>
          <w:iCs/>
          <w:color w:val="auto"/>
          <w:kern w:val="36"/>
          <w14:ligatures w14:val="none"/>
        </w:rPr>
        <w:t>that with regard to our Grey Belt submission: -</w:t>
      </w:r>
    </w:p>
    <w:p w14:paraId="6681C586" w14:textId="396716CD" w:rsidR="00E54DAF" w:rsidRPr="00E54DAF" w:rsidRDefault="00F26D0E" w:rsidP="00E54DAF">
      <w:pPr>
        <w:pStyle w:val="Default"/>
        <w:spacing w:line="360" w:lineRule="auto"/>
        <w:rPr>
          <w:rFonts w:eastAsia="Lucida Sans Unicode"/>
          <w:iCs/>
          <w:color w:val="auto"/>
          <w:kern w:val="36"/>
          <w14:ligatures w14:val="none"/>
        </w:rPr>
      </w:pPr>
      <w:r>
        <w:rPr>
          <w:rFonts w:eastAsia="Lucida Sans Unicode"/>
          <w:iCs/>
          <w:color w:val="auto"/>
          <w:kern w:val="36"/>
          <w14:ligatures w14:val="none"/>
        </w:rPr>
        <w:t>‘</w:t>
      </w:r>
      <w:r w:rsidR="00E54DAF" w:rsidRPr="00E54DAF">
        <w:rPr>
          <w:rFonts w:eastAsia="Lucida Sans Unicode"/>
          <w:iCs/>
          <w:color w:val="auto"/>
          <w:kern w:val="36"/>
          <w14:ligatures w14:val="none"/>
        </w:rPr>
        <w:t xml:space="preserve">As you know, Paragraph 155 of the NPPF sets out that “The development of homes, commercial and other development in the Green Belt should also not be regarded as inappropriate where all the following apply: </w:t>
      </w:r>
    </w:p>
    <w:p w14:paraId="1B839A1F" w14:textId="77777777" w:rsidR="00E54DAF" w:rsidRPr="00E54DAF" w:rsidRDefault="00E54DAF" w:rsidP="00E54DAF">
      <w:pPr>
        <w:pStyle w:val="Default"/>
        <w:spacing w:line="360" w:lineRule="auto"/>
        <w:rPr>
          <w:rFonts w:eastAsia="Lucida Sans Unicode"/>
          <w:iCs/>
          <w:color w:val="auto"/>
          <w:kern w:val="36"/>
          <w14:ligatures w14:val="none"/>
        </w:rPr>
      </w:pPr>
    </w:p>
    <w:p w14:paraId="22BC5514" w14:textId="77777777" w:rsidR="00E54DAF" w:rsidRPr="00F26D0E" w:rsidRDefault="00E54DAF" w:rsidP="00E54DAF">
      <w:pPr>
        <w:pStyle w:val="Default"/>
        <w:spacing w:line="360" w:lineRule="auto"/>
        <w:rPr>
          <w:rFonts w:eastAsia="Lucida Sans Unicode"/>
          <w:i/>
          <w:color w:val="auto"/>
          <w:kern w:val="36"/>
          <w14:ligatures w14:val="none"/>
        </w:rPr>
      </w:pPr>
      <w:r w:rsidRPr="00F26D0E">
        <w:rPr>
          <w:rFonts w:eastAsia="Lucida Sans Unicode"/>
          <w:i/>
          <w:color w:val="auto"/>
          <w:kern w:val="36"/>
          <w14:ligatures w14:val="none"/>
        </w:rPr>
        <w:t>a.</w:t>
      </w:r>
      <w:r w:rsidRPr="00F26D0E">
        <w:rPr>
          <w:rFonts w:eastAsia="Lucida Sans Unicode"/>
          <w:i/>
          <w:color w:val="auto"/>
          <w:kern w:val="36"/>
          <w14:ligatures w14:val="none"/>
        </w:rPr>
        <w:tab/>
        <w:t xml:space="preserve">The development would utilise grey belt land and would not fundamentally undermine the purposes (taken together) of the remaining Green Belt across the area of the plan; </w:t>
      </w:r>
    </w:p>
    <w:p w14:paraId="04D0D92F" w14:textId="77777777" w:rsidR="00E54DAF" w:rsidRPr="00F26D0E" w:rsidRDefault="00E54DAF" w:rsidP="00E54DAF">
      <w:pPr>
        <w:pStyle w:val="Default"/>
        <w:spacing w:line="360" w:lineRule="auto"/>
        <w:rPr>
          <w:rFonts w:eastAsia="Lucida Sans Unicode"/>
          <w:i/>
          <w:color w:val="auto"/>
          <w:kern w:val="36"/>
          <w14:ligatures w14:val="none"/>
        </w:rPr>
      </w:pPr>
      <w:r w:rsidRPr="00F26D0E">
        <w:rPr>
          <w:rFonts w:eastAsia="Lucida Sans Unicode"/>
          <w:i/>
          <w:color w:val="auto"/>
          <w:kern w:val="36"/>
          <w14:ligatures w14:val="none"/>
        </w:rPr>
        <w:t>b.</w:t>
      </w:r>
      <w:r w:rsidRPr="00F26D0E">
        <w:rPr>
          <w:rFonts w:eastAsia="Lucida Sans Unicode"/>
          <w:i/>
          <w:color w:val="auto"/>
          <w:kern w:val="36"/>
          <w14:ligatures w14:val="none"/>
        </w:rPr>
        <w:tab/>
        <w:t xml:space="preserve">There is a demonstrable unmet need for the type of development proposed56; </w:t>
      </w:r>
    </w:p>
    <w:p w14:paraId="3EF376EC" w14:textId="77777777" w:rsidR="00E54DAF" w:rsidRPr="00F26D0E" w:rsidRDefault="00E54DAF" w:rsidP="00E54DAF">
      <w:pPr>
        <w:pStyle w:val="Default"/>
        <w:spacing w:line="360" w:lineRule="auto"/>
        <w:rPr>
          <w:rFonts w:eastAsia="Lucida Sans Unicode"/>
          <w:i/>
          <w:color w:val="auto"/>
          <w:kern w:val="36"/>
          <w14:ligatures w14:val="none"/>
        </w:rPr>
      </w:pPr>
      <w:r w:rsidRPr="00F26D0E">
        <w:rPr>
          <w:rFonts w:eastAsia="Lucida Sans Unicode"/>
          <w:i/>
          <w:color w:val="auto"/>
          <w:kern w:val="36"/>
          <w14:ligatures w14:val="none"/>
        </w:rPr>
        <w:t>c.</w:t>
      </w:r>
      <w:r w:rsidRPr="00F26D0E">
        <w:rPr>
          <w:rFonts w:eastAsia="Lucida Sans Unicode"/>
          <w:i/>
          <w:color w:val="auto"/>
          <w:kern w:val="36"/>
          <w14:ligatures w14:val="none"/>
        </w:rPr>
        <w:tab/>
        <w:t xml:space="preserve">The development would be in a sustainable location, with particular reference to paragraphs 110 and 115 of this Framework; </w:t>
      </w:r>
    </w:p>
    <w:p w14:paraId="56507A04" w14:textId="77777777" w:rsidR="00E54DAF" w:rsidRPr="00F26D0E" w:rsidRDefault="00E54DAF" w:rsidP="00E54DAF">
      <w:pPr>
        <w:pStyle w:val="Default"/>
        <w:spacing w:line="360" w:lineRule="auto"/>
        <w:rPr>
          <w:rFonts w:eastAsia="Lucida Sans Unicode"/>
          <w:i/>
          <w:color w:val="auto"/>
          <w:kern w:val="36"/>
          <w14:ligatures w14:val="none"/>
        </w:rPr>
      </w:pPr>
      <w:r w:rsidRPr="00F26D0E">
        <w:rPr>
          <w:rFonts w:eastAsia="Lucida Sans Unicode"/>
          <w:i/>
          <w:color w:val="auto"/>
          <w:kern w:val="36"/>
          <w14:ligatures w14:val="none"/>
        </w:rPr>
        <w:t>d.</w:t>
      </w:r>
      <w:r w:rsidRPr="00F26D0E">
        <w:rPr>
          <w:rFonts w:eastAsia="Lucida Sans Unicode"/>
          <w:i/>
          <w:color w:val="auto"/>
          <w:kern w:val="36"/>
          <w14:ligatures w14:val="none"/>
        </w:rPr>
        <w:tab/>
        <w:t>Where applicable the development proposed meets the ‘Golden Rules’ requirements set out in paragraphs 156-157”.</w:t>
      </w:r>
    </w:p>
    <w:p w14:paraId="6865D94C" w14:textId="77777777" w:rsidR="00E54DAF" w:rsidRPr="00F26D0E" w:rsidRDefault="00E54DAF" w:rsidP="00E54DAF">
      <w:pPr>
        <w:pStyle w:val="Default"/>
        <w:spacing w:line="360" w:lineRule="auto"/>
        <w:rPr>
          <w:rFonts w:eastAsia="Lucida Sans Unicode"/>
          <w:i/>
          <w:color w:val="auto"/>
          <w:kern w:val="36"/>
          <w14:ligatures w14:val="none"/>
        </w:rPr>
      </w:pPr>
    </w:p>
    <w:p w14:paraId="48AAFA5B" w14:textId="4ABBCB2D" w:rsidR="0080173A" w:rsidRDefault="00E54DAF" w:rsidP="00E54DAF">
      <w:pPr>
        <w:pStyle w:val="Default"/>
        <w:spacing w:line="360" w:lineRule="auto"/>
        <w:rPr>
          <w:rFonts w:eastAsia="Lucida Sans Unicode"/>
          <w:iCs/>
          <w:color w:val="auto"/>
          <w:kern w:val="36"/>
          <w14:ligatures w14:val="none"/>
        </w:rPr>
      </w:pPr>
      <w:r w:rsidRPr="00F26D0E">
        <w:rPr>
          <w:rFonts w:eastAsia="Lucida Sans Unicode"/>
          <w:i/>
          <w:color w:val="auto"/>
          <w:kern w:val="36"/>
          <w14:ligatures w14:val="none"/>
        </w:rPr>
        <w:t>In terms of our assessment against this, I agree that the development does not strongly contribute to any of purposes (a), (b), or (d) of paragraph 143 of the Framework. However, having regard to footnote 56 of the NPPF which sets out the circumstances where it can be considered that there is a demonstrable unmet need for the type of development proposed in respect of housing, the Council is able to demonstrate a 5-year supply of deliverable housing sites (as set out within the recent adopted Places for Everyone Joint Development Plan) and within the Housing Delivery Tests which are above 75% of the housing requirement over the previous three years, with Rochdale measuring 169% delivery versus the requirement in 2021, 142% in 2022 and 138% in 2023. As such it is clear that the proposals would not be serving a demonstrable unmet need, and the proposal is inappropriate development within the Green Belt</w:t>
      </w:r>
      <w:r w:rsidR="00F26D0E" w:rsidRPr="00F26D0E">
        <w:rPr>
          <w:rFonts w:eastAsia="Lucida Sans Unicode"/>
          <w:i/>
          <w:color w:val="auto"/>
          <w:kern w:val="36"/>
          <w14:ligatures w14:val="none"/>
        </w:rPr>
        <w:t>’</w:t>
      </w:r>
      <w:r w:rsidRPr="00E54DAF">
        <w:rPr>
          <w:rFonts w:eastAsia="Lucida Sans Unicode"/>
          <w:iCs/>
          <w:color w:val="auto"/>
          <w:kern w:val="36"/>
          <w14:ligatures w14:val="none"/>
        </w:rPr>
        <w:t>.</w:t>
      </w:r>
    </w:p>
    <w:p w14:paraId="206A05BE" w14:textId="77777777" w:rsidR="00F26D0E" w:rsidRDefault="00F26D0E" w:rsidP="00E54DAF">
      <w:pPr>
        <w:pStyle w:val="Default"/>
        <w:spacing w:line="360" w:lineRule="auto"/>
        <w:rPr>
          <w:rFonts w:eastAsia="Lucida Sans Unicode"/>
          <w:iCs/>
          <w:color w:val="auto"/>
          <w:kern w:val="36"/>
          <w14:ligatures w14:val="none"/>
        </w:rPr>
      </w:pPr>
    </w:p>
    <w:p w14:paraId="0B6BF394" w14:textId="44995C10" w:rsidR="00F26D0E" w:rsidRDefault="00A42C97" w:rsidP="00E54DAF">
      <w:pPr>
        <w:pStyle w:val="Default"/>
        <w:spacing w:line="360" w:lineRule="auto"/>
        <w:rPr>
          <w:rFonts w:eastAsia="Lucida Sans Unicode"/>
          <w:iCs/>
          <w:color w:val="auto"/>
          <w:kern w:val="36"/>
          <w14:ligatures w14:val="none"/>
        </w:rPr>
      </w:pPr>
      <w:r>
        <w:rPr>
          <w:rFonts w:eastAsia="Lucida Sans Unicode"/>
          <w:iCs/>
          <w:color w:val="auto"/>
          <w:kern w:val="36"/>
          <w14:ligatures w14:val="none"/>
        </w:rPr>
        <w:t xml:space="preserve">However, the above figures do not demonstrate </w:t>
      </w:r>
      <w:r w:rsidR="00AB245F">
        <w:rPr>
          <w:rFonts w:eastAsia="Lucida Sans Unicode"/>
          <w:iCs/>
          <w:color w:val="auto"/>
          <w:kern w:val="36"/>
          <w14:ligatures w14:val="none"/>
        </w:rPr>
        <w:t xml:space="preserve">the position since 2023 and where an annual housing supply and delivery </w:t>
      </w:r>
      <w:r w:rsidR="00FD19B4">
        <w:rPr>
          <w:rFonts w:eastAsia="Lucida Sans Unicode"/>
          <w:iCs/>
          <w:color w:val="auto"/>
          <w:kern w:val="36"/>
          <w14:ligatures w14:val="none"/>
        </w:rPr>
        <w:t xml:space="preserve">assessment is required. Without this, the </w:t>
      </w:r>
      <w:r w:rsidR="00FD19B4">
        <w:rPr>
          <w:rFonts w:eastAsia="Lucida Sans Unicode"/>
          <w:iCs/>
          <w:color w:val="auto"/>
          <w:kern w:val="36"/>
          <w14:ligatures w14:val="none"/>
        </w:rPr>
        <w:lastRenderedPageBreak/>
        <w:t>default position is that  a 5</w:t>
      </w:r>
      <w:r w:rsidR="00B0359C">
        <w:rPr>
          <w:rFonts w:eastAsia="Lucida Sans Unicode"/>
          <w:iCs/>
          <w:color w:val="auto"/>
          <w:kern w:val="36"/>
          <w14:ligatures w14:val="none"/>
        </w:rPr>
        <w:t>-</w:t>
      </w:r>
      <w:r w:rsidR="00FD19B4">
        <w:rPr>
          <w:rFonts w:eastAsia="Lucida Sans Unicode"/>
          <w:iCs/>
          <w:color w:val="auto"/>
          <w:kern w:val="36"/>
          <w14:ligatures w14:val="none"/>
        </w:rPr>
        <w:t xml:space="preserve">year </w:t>
      </w:r>
      <w:r w:rsidR="00B0359C">
        <w:rPr>
          <w:rFonts w:eastAsia="Lucida Sans Unicode"/>
          <w:iCs/>
          <w:color w:val="auto"/>
          <w:kern w:val="36"/>
          <w14:ligatures w14:val="none"/>
        </w:rPr>
        <w:t>supply</w:t>
      </w:r>
      <w:r w:rsidR="00FD19B4">
        <w:rPr>
          <w:rFonts w:eastAsia="Lucida Sans Unicode"/>
          <w:iCs/>
          <w:color w:val="auto"/>
          <w:kern w:val="36"/>
          <w14:ligatures w14:val="none"/>
        </w:rPr>
        <w:t xml:space="preserve"> of deliverable housing lans </w:t>
      </w:r>
      <w:r w:rsidR="00E57B75">
        <w:rPr>
          <w:rFonts w:eastAsia="Lucida Sans Unicode"/>
          <w:iCs/>
          <w:color w:val="auto"/>
          <w:kern w:val="36"/>
          <w14:ligatures w14:val="none"/>
        </w:rPr>
        <w:t>cannot be demonstrated, nor the required delivery of completed dwellings.</w:t>
      </w:r>
    </w:p>
    <w:p w14:paraId="0BD61442" w14:textId="77777777" w:rsidR="00E57B75" w:rsidRDefault="00E57B75" w:rsidP="00E54DAF">
      <w:pPr>
        <w:pStyle w:val="Default"/>
        <w:spacing w:line="360" w:lineRule="auto"/>
        <w:rPr>
          <w:rFonts w:eastAsia="Lucida Sans Unicode"/>
          <w:iCs/>
          <w:color w:val="auto"/>
          <w:kern w:val="36"/>
          <w14:ligatures w14:val="none"/>
        </w:rPr>
      </w:pPr>
    </w:p>
    <w:p w14:paraId="0F774FC0" w14:textId="76E17289" w:rsidR="00E57B75" w:rsidRDefault="00CD0E8B" w:rsidP="00E54DAF">
      <w:pPr>
        <w:pStyle w:val="Default"/>
        <w:spacing w:line="360" w:lineRule="auto"/>
        <w:rPr>
          <w:rFonts w:eastAsia="Lucida Sans Unicode"/>
          <w:iCs/>
          <w:color w:val="auto"/>
          <w:kern w:val="36"/>
          <w14:ligatures w14:val="none"/>
        </w:rPr>
      </w:pPr>
      <w:r>
        <w:rPr>
          <w:rFonts w:eastAsia="Lucida Sans Unicode"/>
          <w:iCs/>
          <w:color w:val="auto"/>
          <w:kern w:val="36"/>
          <w14:ligatures w14:val="none"/>
        </w:rPr>
        <w:t xml:space="preserve">But in addition , the </w:t>
      </w:r>
      <w:r w:rsidRPr="00F26D0E">
        <w:rPr>
          <w:rFonts w:eastAsia="Lucida Sans Unicode"/>
          <w:i/>
          <w:color w:val="auto"/>
          <w:kern w:val="36"/>
          <w14:ligatures w14:val="none"/>
        </w:rPr>
        <w:t>Places for Everyone Joint Development Plan</w:t>
      </w:r>
      <w:r>
        <w:rPr>
          <w:rFonts w:eastAsia="Lucida Sans Unicode"/>
          <w:i/>
          <w:color w:val="auto"/>
          <w:kern w:val="36"/>
          <w14:ligatures w14:val="none"/>
        </w:rPr>
        <w:t xml:space="preserve"> for Greater Manchester </w:t>
      </w:r>
      <w:r w:rsidR="00B0359C" w:rsidRPr="00B0359C">
        <w:rPr>
          <w:rFonts w:eastAsia="Lucida Sans Unicode"/>
          <w:iCs/>
          <w:color w:val="auto"/>
          <w:kern w:val="36"/>
          <w14:ligatures w14:val="none"/>
        </w:rPr>
        <w:t>includes housing targets for individual Councils</w:t>
      </w:r>
      <w:r w:rsidR="006E4817">
        <w:rPr>
          <w:rFonts w:eastAsia="Lucida Sans Unicode"/>
          <w:iCs/>
          <w:color w:val="auto"/>
          <w:kern w:val="36"/>
          <w14:ligatures w14:val="none"/>
        </w:rPr>
        <w:t>, as follows</w:t>
      </w:r>
      <w:r w:rsidR="00EF5A20">
        <w:rPr>
          <w:rFonts w:eastAsia="Lucida Sans Unicode"/>
          <w:iCs/>
          <w:color w:val="auto"/>
          <w:kern w:val="36"/>
          <w14:ligatures w14:val="none"/>
        </w:rPr>
        <w:t>: -</w:t>
      </w:r>
    </w:p>
    <w:p w14:paraId="43215709" w14:textId="77777777" w:rsidR="00EF5A20" w:rsidRDefault="00EF5A20" w:rsidP="00E54DAF">
      <w:pPr>
        <w:pStyle w:val="Default"/>
        <w:spacing w:line="360" w:lineRule="auto"/>
        <w:rPr>
          <w:rFonts w:eastAsia="Lucida Sans Unicode"/>
          <w:iCs/>
          <w:color w:val="auto"/>
          <w:kern w:val="36"/>
          <w14:ligatures w14:val="none"/>
        </w:rPr>
      </w:pPr>
    </w:p>
    <w:p w14:paraId="47AC68E7" w14:textId="1064E78E" w:rsidR="00EF5A20" w:rsidRPr="00B0359C" w:rsidRDefault="00EF5A20" w:rsidP="00E54DAF">
      <w:pPr>
        <w:pStyle w:val="Default"/>
        <w:spacing w:line="360" w:lineRule="auto"/>
        <w:rPr>
          <w:rFonts w:eastAsia="Lucida Sans Unicode"/>
          <w:iCs/>
          <w:color w:val="auto"/>
          <w:kern w:val="36"/>
          <w14:ligatures w14:val="none"/>
        </w:rPr>
      </w:pPr>
      <w:r w:rsidRPr="00EF5A20">
        <w:rPr>
          <w:rFonts w:eastAsia="Lucida Sans Unicode"/>
          <w:iCs/>
          <w:color w:val="auto"/>
          <w:kern w:val="36"/>
          <w14:ligatures w14:val="none"/>
        </w:rPr>
        <w:drawing>
          <wp:inline distT="0" distB="0" distL="0" distR="0" wp14:anchorId="0A13D9ED" wp14:editId="6CE55AF9">
            <wp:extent cx="5731510" cy="2682875"/>
            <wp:effectExtent l="0" t="0" r="2540" b="3175"/>
            <wp:docPr id="517304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304965" name=""/>
                    <pic:cNvPicPr/>
                  </pic:nvPicPr>
                  <pic:blipFill>
                    <a:blip r:embed="rId10"/>
                    <a:stretch>
                      <a:fillRect/>
                    </a:stretch>
                  </pic:blipFill>
                  <pic:spPr>
                    <a:xfrm>
                      <a:off x="0" y="0"/>
                      <a:ext cx="5731510" cy="2682875"/>
                    </a:xfrm>
                    <a:prstGeom prst="rect">
                      <a:avLst/>
                    </a:prstGeom>
                  </pic:spPr>
                </pic:pic>
              </a:graphicData>
            </a:graphic>
          </wp:inline>
        </w:drawing>
      </w:r>
    </w:p>
    <w:p w14:paraId="2FDBACAD" w14:textId="77777777" w:rsidR="0080173A" w:rsidRDefault="0080173A" w:rsidP="002A5302">
      <w:pPr>
        <w:pStyle w:val="Default"/>
        <w:spacing w:line="360" w:lineRule="auto"/>
        <w:rPr>
          <w:rFonts w:eastAsia="Lucida Sans Unicode"/>
          <w:iCs/>
          <w:color w:val="auto"/>
          <w:kern w:val="36"/>
          <w14:ligatures w14:val="none"/>
        </w:rPr>
      </w:pPr>
    </w:p>
    <w:p w14:paraId="7D61A527" w14:textId="3181A15B" w:rsidR="00D81BFD" w:rsidRDefault="00EF5A20" w:rsidP="002A5302">
      <w:pPr>
        <w:pStyle w:val="Default"/>
        <w:spacing w:line="360" w:lineRule="auto"/>
        <w:rPr>
          <w:rFonts w:eastAsia="Lucida Sans Unicode"/>
          <w:iCs/>
          <w:color w:val="auto"/>
          <w:kern w:val="36"/>
          <w14:ligatures w14:val="none"/>
        </w:rPr>
      </w:pPr>
      <w:r>
        <w:rPr>
          <w:rFonts w:eastAsia="Lucida Sans Unicode"/>
          <w:iCs/>
          <w:color w:val="auto"/>
          <w:kern w:val="36"/>
          <w14:ligatures w14:val="none"/>
        </w:rPr>
        <w:t>The LPA gives no assurances that it is able to meet such requirements</w:t>
      </w:r>
      <w:r w:rsidR="00D63F99">
        <w:rPr>
          <w:rFonts w:eastAsia="Lucida Sans Unicode"/>
          <w:iCs/>
          <w:color w:val="auto"/>
          <w:kern w:val="36"/>
          <w14:ligatures w14:val="none"/>
        </w:rPr>
        <w:t xml:space="preserve">. Moreover, since the adoption of the plan, housing targets have been substantially  increased by Government </w:t>
      </w:r>
      <w:r w:rsidR="00AD0335">
        <w:rPr>
          <w:rFonts w:eastAsia="Lucida Sans Unicode"/>
          <w:iCs/>
          <w:color w:val="auto"/>
          <w:kern w:val="36"/>
          <w14:ligatures w14:val="none"/>
        </w:rPr>
        <w:t>,</w:t>
      </w:r>
      <w:r w:rsidR="00D63F99">
        <w:rPr>
          <w:rFonts w:eastAsia="Lucida Sans Unicode"/>
          <w:iCs/>
          <w:color w:val="auto"/>
          <w:kern w:val="36"/>
          <w14:ligatures w14:val="none"/>
        </w:rPr>
        <w:t xml:space="preserve">with a figure believed now to be for Rochdale of </w:t>
      </w:r>
      <w:r w:rsidR="006D129D">
        <w:rPr>
          <w:rFonts w:eastAsia="Lucida Sans Unicode"/>
          <w:iCs/>
          <w:color w:val="auto"/>
          <w:kern w:val="36"/>
          <w14:ligatures w14:val="none"/>
        </w:rPr>
        <w:t xml:space="preserve">some 918 dwellings per annum. </w:t>
      </w:r>
    </w:p>
    <w:p w14:paraId="3D57AEEB" w14:textId="77777777" w:rsidR="006D129D" w:rsidRDefault="006D129D" w:rsidP="002A5302">
      <w:pPr>
        <w:pStyle w:val="Default"/>
        <w:spacing w:line="360" w:lineRule="auto"/>
        <w:rPr>
          <w:rFonts w:eastAsia="Lucida Sans Unicode"/>
          <w:iCs/>
          <w:color w:val="auto"/>
          <w:kern w:val="36"/>
          <w14:ligatures w14:val="none"/>
        </w:rPr>
      </w:pPr>
    </w:p>
    <w:p w14:paraId="677E2909" w14:textId="2E869DD4" w:rsidR="006651B3" w:rsidRDefault="00486C89" w:rsidP="002A5302">
      <w:pPr>
        <w:pStyle w:val="Default"/>
        <w:spacing w:line="360" w:lineRule="auto"/>
        <w:rPr>
          <w:rFonts w:eastAsia="Lucida Sans Unicode"/>
          <w:iCs/>
          <w:color w:val="auto"/>
          <w:kern w:val="36"/>
          <w14:ligatures w14:val="none"/>
        </w:rPr>
      </w:pPr>
      <w:r>
        <w:rPr>
          <w:rFonts w:eastAsia="Lucida Sans Unicode"/>
          <w:iCs/>
          <w:color w:val="auto"/>
          <w:kern w:val="36"/>
          <w14:ligatures w14:val="none"/>
        </w:rPr>
        <w:t>Therefore, on the available evidence, we do not consider that the Council can demonstrate that it can meet</w:t>
      </w:r>
      <w:r w:rsidR="000F0919">
        <w:rPr>
          <w:rFonts w:eastAsia="Lucida Sans Unicode"/>
          <w:iCs/>
          <w:color w:val="auto"/>
          <w:kern w:val="36"/>
          <w14:ligatures w14:val="none"/>
        </w:rPr>
        <w:t>, or is meeting,</w:t>
      </w:r>
      <w:r>
        <w:rPr>
          <w:rFonts w:eastAsia="Lucida Sans Unicode"/>
          <w:iCs/>
          <w:color w:val="auto"/>
          <w:kern w:val="36"/>
          <w14:ligatures w14:val="none"/>
        </w:rPr>
        <w:t xml:space="preserve"> its housing target and </w:t>
      </w:r>
      <w:r w:rsidR="00883490">
        <w:rPr>
          <w:rFonts w:eastAsia="Lucida Sans Unicode"/>
          <w:iCs/>
          <w:color w:val="auto"/>
          <w:kern w:val="36"/>
          <w14:ligatures w14:val="none"/>
        </w:rPr>
        <w:t xml:space="preserve">therefore, that the ‘need’ as required </w:t>
      </w:r>
      <w:r w:rsidR="002A5302">
        <w:rPr>
          <w:rFonts w:eastAsia="Lucida Sans Unicode"/>
          <w:iCs/>
          <w:color w:val="auto"/>
          <w:kern w:val="36"/>
          <w14:ligatures w14:val="none"/>
        </w:rPr>
        <w:t>for grey belt development exists.</w:t>
      </w:r>
    </w:p>
    <w:p w14:paraId="5D64C182" w14:textId="77777777" w:rsidR="002A5302" w:rsidRDefault="002A5302" w:rsidP="002A5302">
      <w:pPr>
        <w:pStyle w:val="Default"/>
        <w:spacing w:line="360" w:lineRule="auto"/>
        <w:rPr>
          <w:rFonts w:eastAsia="Lucida Sans Unicode"/>
          <w:iCs/>
          <w:color w:val="auto"/>
          <w:kern w:val="36"/>
          <w14:ligatures w14:val="none"/>
        </w:rPr>
      </w:pPr>
    </w:p>
    <w:p w14:paraId="7C8B33BA" w14:textId="23611890" w:rsidR="002A5302" w:rsidRDefault="002A5302" w:rsidP="002A5302">
      <w:pPr>
        <w:pStyle w:val="Default"/>
        <w:spacing w:line="360" w:lineRule="auto"/>
        <w:rPr>
          <w:rFonts w:eastAsia="Lucida Sans Unicode"/>
          <w:iCs/>
          <w:color w:val="auto"/>
          <w:kern w:val="36"/>
          <w:u w:val="single"/>
          <w14:ligatures w14:val="none"/>
        </w:rPr>
      </w:pPr>
      <w:r w:rsidRPr="00381FC7">
        <w:rPr>
          <w:rFonts w:eastAsia="Lucida Sans Unicode"/>
          <w:iCs/>
          <w:color w:val="auto"/>
          <w:kern w:val="36"/>
          <w:u w:val="single"/>
          <w14:ligatures w14:val="none"/>
        </w:rPr>
        <w:t>Sustainab</w:t>
      </w:r>
      <w:r w:rsidR="00381FC7" w:rsidRPr="00381FC7">
        <w:rPr>
          <w:rFonts w:eastAsia="Lucida Sans Unicode"/>
          <w:iCs/>
          <w:color w:val="auto"/>
          <w:kern w:val="36"/>
          <w:u w:val="single"/>
          <w14:ligatures w14:val="none"/>
        </w:rPr>
        <w:t>ility</w:t>
      </w:r>
    </w:p>
    <w:p w14:paraId="6CFCC474" w14:textId="77777777" w:rsidR="00381FC7" w:rsidRDefault="00381FC7" w:rsidP="002A5302">
      <w:pPr>
        <w:pStyle w:val="Default"/>
        <w:spacing w:line="360" w:lineRule="auto"/>
        <w:rPr>
          <w:rFonts w:eastAsia="Lucida Sans Unicode"/>
          <w:iCs/>
          <w:color w:val="auto"/>
          <w:kern w:val="36"/>
          <w:u w:val="single"/>
          <w14:ligatures w14:val="none"/>
        </w:rPr>
      </w:pPr>
    </w:p>
    <w:p w14:paraId="58D2C165" w14:textId="27738C4F" w:rsidR="00E51720" w:rsidRDefault="00097006" w:rsidP="008A625B">
      <w:pPr>
        <w:pStyle w:val="Default"/>
        <w:spacing w:line="360" w:lineRule="auto"/>
        <w:rPr>
          <w:rFonts w:eastAsia="Lucida Sans Unicode"/>
          <w:iCs/>
          <w:color w:val="auto"/>
          <w:kern w:val="36"/>
          <w14:ligatures w14:val="none"/>
        </w:rPr>
      </w:pPr>
      <w:r>
        <w:rPr>
          <w:rFonts w:eastAsia="Lucida Sans Unicode"/>
          <w:iCs/>
          <w:color w:val="auto"/>
          <w:kern w:val="36"/>
          <w14:ligatures w14:val="none"/>
        </w:rPr>
        <w:t>The site i</w:t>
      </w:r>
      <w:r w:rsidR="00B21082">
        <w:rPr>
          <w:rFonts w:eastAsia="Lucida Sans Unicode"/>
          <w:iCs/>
          <w:color w:val="auto"/>
          <w:kern w:val="36"/>
          <w14:ligatures w14:val="none"/>
        </w:rPr>
        <w:t xml:space="preserve">s within 10 </w:t>
      </w:r>
      <w:r w:rsidR="00115304">
        <w:rPr>
          <w:rFonts w:eastAsia="Lucida Sans Unicode"/>
          <w:iCs/>
          <w:color w:val="auto"/>
          <w:kern w:val="36"/>
          <w14:ligatures w14:val="none"/>
        </w:rPr>
        <w:t>minutes’</w:t>
      </w:r>
      <w:r w:rsidR="00B21082">
        <w:rPr>
          <w:rFonts w:eastAsia="Lucida Sans Unicode"/>
          <w:iCs/>
          <w:color w:val="auto"/>
          <w:kern w:val="36"/>
          <w14:ligatures w14:val="none"/>
        </w:rPr>
        <w:t xml:space="preserve"> walk of two separate bus routes (see submitted </w:t>
      </w:r>
      <w:r w:rsidR="00F908DC">
        <w:rPr>
          <w:rFonts w:eastAsia="Lucida Sans Unicode"/>
          <w:iCs/>
          <w:color w:val="auto"/>
          <w:kern w:val="36"/>
          <w14:ligatures w14:val="none"/>
        </w:rPr>
        <w:t xml:space="preserve"> route plans)</w:t>
      </w:r>
      <w:r w:rsidR="0081504D">
        <w:rPr>
          <w:rFonts w:eastAsia="Lucida Sans Unicode"/>
          <w:iCs/>
          <w:color w:val="auto"/>
          <w:kern w:val="36"/>
          <w14:ligatures w14:val="none"/>
        </w:rPr>
        <w:t>,</w:t>
      </w:r>
      <w:r w:rsidR="00F908DC">
        <w:rPr>
          <w:rFonts w:eastAsia="Lucida Sans Unicode"/>
          <w:iCs/>
          <w:color w:val="auto"/>
          <w:kern w:val="36"/>
          <w14:ligatures w14:val="none"/>
        </w:rPr>
        <w:t xml:space="preserve"> and which provide good access </w:t>
      </w:r>
      <w:r w:rsidR="007F408E">
        <w:rPr>
          <w:rFonts w:eastAsia="Lucida Sans Unicode"/>
          <w:iCs/>
          <w:color w:val="auto"/>
          <w:kern w:val="36"/>
          <w14:ligatures w14:val="none"/>
        </w:rPr>
        <w:t>to Littleborough town centre and railway station within a further 10 minutes tra</w:t>
      </w:r>
      <w:r w:rsidR="00380D16">
        <w:rPr>
          <w:rFonts w:eastAsia="Lucida Sans Unicode"/>
          <w:iCs/>
          <w:color w:val="auto"/>
          <w:kern w:val="36"/>
          <w14:ligatures w14:val="none"/>
        </w:rPr>
        <w:t xml:space="preserve">vel time. Moreover, when the routes are </w:t>
      </w:r>
      <w:r w:rsidR="00354685">
        <w:rPr>
          <w:rFonts w:eastAsia="Lucida Sans Unicode"/>
          <w:iCs/>
          <w:color w:val="auto"/>
          <w:kern w:val="36"/>
          <w14:ligatures w14:val="none"/>
        </w:rPr>
        <w:t xml:space="preserve">considered together, they provide a regular service </w:t>
      </w:r>
      <w:r w:rsidR="000F7BD9">
        <w:rPr>
          <w:rFonts w:eastAsia="Lucida Sans Unicode"/>
          <w:iCs/>
          <w:color w:val="auto"/>
          <w:kern w:val="36"/>
          <w14:ligatures w14:val="none"/>
        </w:rPr>
        <w:t>from</w:t>
      </w:r>
      <w:r w:rsidR="00354685">
        <w:rPr>
          <w:rFonts w:eastAsia="Lucida Sans Unicode"/>
          <w:iCs/>
          <w:color w:val="auto"/>
          <w:kern w:val="36"/>
          <w14:ligatures w14:val="none"/>
        </w:rPr>
        <w:t xml:space="preserve"> early in the morning to </w:t>
      </w:r>
      <w:r w:rsidR="00E47831">
        <w:rPr>
          <w:rFonts w:eastAsia="Lucida Sans Unicode"/>
          <w:iCs/>
          <w:color w:val="auto"/>
          <w:kern w:val="36"/>
          <w14:ligatures w14:val="none"/>
        </w:rPr>
        <w:lastRenderedPageBreak/>
        <w:t>relatively</w:t>
      </w:r>
      <w:r w:rsidR="00354685">
        <w:rPr>
          <w:rFonts w:eastAsia="Lucida Sans Unicode"/>
          <w:iCs/>
          <w:color w:val="auto"/>
          <w:kern w:val="36"/>
          <w14:ligatures w14:val="none"/>
        </w:rPr>
        <w:t xml:space="preserve"> late at night</w:t>
      </w:r>
      <w:r w:rsidR="000F7BD9">
        <w:rPr>
          <w:rFonts w:eastAsia="Lucida Sans Unicode"/>
          <w:iCs/>
          <w:color w:val="auto"/>
          <w:kern w:val="36"/>
          <w14:ligatures w14:val="none"/>
        </w:rPr>
        <w:t xml:space="preserve">. </w:t>
      </w:r>
      <w:r w:rsidR="00E51720">
        <w:rPr>
          <w:rFonts w:eastAsia="Lucida Sans Unicode"/>
          <w:iCs/>
          <w:color w:val="auto"/>
          <w:kern w:val="36"/>
          <w14:ligatures w14:val="none"/>
        </w:rPr>
        <w:t>Details of the bus timetables are submitted with the application.</w:t>
      </w:r>
    </w:p>
    <w:p w14:paraId="5806AA8C" w14:textId="77777777" w:rsidR="000F7BD9" w:rsidRDefault="000F7BD9" w:rsidP="008A625B">
      <w:pPr>
        <w:pStyle w:val="Default"/>
        <w:spacing w:line="360" w:lineRule="auto"/>
        <w:rPr>
          <w:rFonts w:eastAsia="Lucida Sans Unicode"/>
          <w:iCs/>
          <w:color w:val="auto"/>
          <w:kern w:val="36"/>
          <w14:ligatures w14:val="none"/>
        </w:rPr>
      </w:pPr>
    </w:p>
    <w:p w14:paraId="4F4B54D5" w14:textId="16DA8400" w:rsidR="00092EAD" w:rsidRDefault="00E47831" w:rsidP="008A625B">
      <w:pPr>
        <w:pStyle w:val="Default"/>
        <w:spacing w:line="360" w:lineRule="auto"/>
        <w:rPr>
          <w:rFonts w:eastAsia="Lucida Sans Unicode"/>
          <w:iCs/>
          <w:color w:val="auto"/>
          <w:kern w:val="36"/>
          <w14:ligatures w14:val="none"/>
        </w:rPr>
      </w:pPr>
      <w:r>
        <w:rPr>
          <w:rFonts w:eastAsia="Lucida Sans Unicode"/>
          <w:iCs/>
          <w:color w:val="auto"/>
          <w:kern w:val="36"/>
          <w14:ligatures w14:val="none"/>
        </w:rPr>
        <w:t>Thus, public transport provides a</w:t>
      </w:r>
      <w:r w:rsidR="00996548">
        <w:rPr>
          <w:rFonts w:eastAsia="Lucida Sans Unicode"/>
          <w:iCs/>
          <w:color w:val="auto"/>
          <w:kern w:val="36"/>
          <w14:ligatures w14:val="none"/>
        </w:rPr>
        <w:t>n accessible alternative to the private car</w:t>
      </w:r>
      <w:r w:rsidR="00D67979">
        <w:rPr>
          <w:rFonts w:eastAsia="Lucida Sans Unicode"/>
          <w:iCs/>
          <w:color w:val="auto"/>
          <w:kern w:val="36"/>
          <w14:ligatures w14:val="none"/>
        </w:rPr>
        <w:t xml:space="preserve"> for </w:t>
      </w:r>
      <w:r w:rsidR="009C007E">
        <w:rPr>
          <w:rFonts w:eastAsia="Lucida Sans Unicode"/>
          <w:iCs/>
          <w:color w:val="auto"/>
          <w:kern w:val="36"/>
          <w14:ligatures w14:val="none"/>
        </w:rPr>
        <w:t>travelling</w:t>
      </w:r>
      <w:r w:rsidR="00D67979">
        <w:rPr>
          <w:rFonts w:eastAsia="Lucida Sans Unicode"/>
          <w:iCs/>
          <w:color w:val="auto"/>
          <w:kern w:val="36"/>
          <w14:ligatures w14:val="none"/>
        </w:rPr>
        <w:t xml:space="preserve"> to services and </w:t>
      </w:r>
      <w:r w:rsidR="00092EAD">
        <w:rPr>
          <w:rFonts w:eastAsia="Lucida Sans Unicode"/>
          <w:iCs/>
          <w:color w:val="auto"/>
          <w:kern w:val="36"/>
          <w14:ligatures w14:val="none"/>
        </w:rPr>
        <w:t>facilities.</w:t>
      </w:r>
    </w:p>
    <w:p w14:paraId="1C2D5CE3" w14:textId="77777777" w:rsidR="009C007E" w:rsidRDefault="009C007E" w:rsidP="008A625B">
      <w:pPr>
        <w:pStyle w:val="Default"/>
        <w:spacing w:line="360" w:lineRule="auto"/>
        <w:rPr>
          <w:rFonts w:eastAsia="Lucida Sans Unicode"/>
          <w:iCs/>
          <w:color w:val="auto"/>
          <w:kern w:val="36"/>
          <w14:ligatures w14:val="none"/>
        </w:rPr>
      </w:pPr>
    </w:p>
    <w:p w14:paraId="577F81AC" w14:textId="1BC86154" w:rsidR="00E47831" w:rsidRDefault="00092EAD" w:rsidP="008A625B">
      <w:pPr>
        <w:pStyle w:val="Default"/>
        <w:spacing w:line="360" w:lineRule="auto"/>
        <w:rPr>
          <w:rFonts w:eastAsia="Lucida Sans Unicode"/>
          <w:iCs/>
          <w:color w:val="auto"/>
          <w:kern w:val="36"/>
          <w14:ligatures w14:val="none"/>
        </w:rPr>
      </w:pPr>
      <w:r>
        <w:rPr>
          <w:rFonts w:eastAsia="Lucida Sans Unicode"/>
          <w:iCs/>
          <w:color w:val="auto"/>
          <w:kern w:val="36"/>
          <w14:ligatures w14:val="none"/>
        </w:rPr>
        <w:t xml:space="preserve">In addition, the adverse effects of private vehicles in terms of carbon </w:t>
      </w:r>
      <w:r w:rsidR="000F7BD9">
        <w:rPr>
          <w:rFonts w:eastAsia="Lucida Sans Unicode"/>
          <w:iCs/>
          <w:color w:val="auto"/>
          <w:kern w:val="36"/>
          <w14:ligatures w14:val="none"/>
        </w:rPr>
        <w:t>emissions</w:t>
      </w:r>
      <w:r>
        <w:rPr>
          <w:rFonts w:eastAsia="Lucida Sans Unicode"/>
          <w:iCs/>
          <w:color w:val="auto"/>
          <w:kern w:val="36"/>
          <w14:ligatures w14:val="none"/>
        </w:rPr>
        <w:t xml:space="preserve"> and any </w:t>
      </w:r>
      <w:r w:rsidR="009C007E">
        <w:rPr>
          <w:rFonts w:eastAsia="Lucida Sans Unicode"/>
          <w:iCs/>
          <w:color w:val="auto"/>
          <w:kern w:val="36"/>
          <w14:ligatures w14:val="none"/>
        </w:rPr>
        <w:t>impact</w:t>
      </w:r>
      <w:r>
        <w:rPr>
          <w:rFonts w:eastAsia="Lucida Sans Unicode"/>
          <w:iCs/>
          <w:color w:val="auto"/>
          <w:kern w:val="36"/>
          <w14:ligatures w14:val="none"/>
        </w:rPr>
        <w:t xml:space="preserve"> up</w:t>
      </w:r>
      <w:r w:rsidR="003F48F5">
        <w:rPr>
          <w:rFonts w:eastAsia="Lucida Sans Unicode"/>
          <w:iCs/>
          <w:color w:val="auto"/>
          <w:kern w:val="36"/>
          <w14:ligatures w14:val="none"/>
        </w:rPr>
        <w:t xml:space="preserve">on climate change reduces annually with the move to </w:t>
      </w:r>
      <w:r w:rsidR="000F7BD9">
        <w:rPr>
          <w:rFonts w:eastAsia="Lucida Sans Unicode"/>
          <w:iCs/>
          <w:color w:val="auto"/>
          <w:kern w:val="36"/>
          <w14:ligatures w14:val="none"/>
        </w:rPr>
        <w:t>electric</w:t>
      </w:r>
      <w:r w:rsidR="003F48F5">
        <w:rPr>
          <w:rFonts w:eastAsia="Lucida Sans Unicode"/>
          <w:iCs/>
          <w:color w:val="auto"/>
          <w:kern w:val="36"/>
          <w14:ligatures w14:val="none"/>
        </w:rPr>
        <w:t xml:space="preserve"> vehicles as well as </w:t>
      </w:r>
      <w:r w:rsidR="00ED5ABA">
        <w:rPr>
          <w:rFonts w:eastAsia="Lucida Sans Unicode"/>
          <w:iCs/>
          <w:color w:val="auto"/>
          <w:kern w:val="36"/>
          <w14:ligatures w14:val="none"/>
        </w:rPr>
        <w:t xml:space="preserve">reductions due to </w:t>
      </w:r>
      <w:r w:rsidR="003F48F5">
        <w:rPr>
          <w:rFonts w:eastAsia="Lucida Sans Unicode"/>
          <w:iCs/>
          <w:color w:val="auto"/>
          <w:kern w:val="36"/>
          <w14:ligatures w14:val="none"/>
        </w:rPr>
        <w:t xml:space="preserve"> home working and home deliveries.</w:t>
      </w:r>
      <w:r w:rsidR="00996548">
        <w:rPr>
          <w:rFonts w:eastAsia="Lucida Sans Unicode"/>
          <w:iCs/>
          <w:color w:val="auto"/>
          <w:kern w:val="36"/>
          <w14:ligatures w14:val="none"/>
        </w:rPr>
        <w:t xml:space="preserve"> </w:t>
      </w:r>
    </w:p>
    <w:p w14:paraId="56376CC5" w14:textId="77777777" w:rsidR="00ED5ABA" w:rsidRDefault="00ED5ABA" w:rsidP="008A625B">
      <w:pPr>
        <w:pStyle w:val="Default"/>
        <w:spacing w:line="360" w:lineRule="auto"/>
        <w:rPr>
          <w:rFonts w:eastAsia="Lucida Sans Unicode"/>
          <w:iCs/>
          <w:color w:val="auto"/>
          <w:kern w:val="36"/>
          <w14:ligatures w14:val="none"/>
        </w:rPr>
      </w:pPr>
    </w:p>
    <w:p w14:paraId="28F3AAC0" w14:textId="728D4574" w:rsidR="00503CD6" w:rsidRDefault="009C007E" w:rsidP="008A625B">
      <w:pPr>
        <w:pStyle w:val="Default"/>
        <w:spacing w:line="360" w:lineRule="auto"/>
        <w:rPr>
          <w:rFonts w:eastAsia="Lucida Sans Unicode"/>
          <w:iCs/>
          <w:color w:val="auto"/>
          <w:kern w:val="36"/>
          <w14:ligatures w14:val="none"/>
        </w:rPr>
      </w:pPr>
      <w:r>
        <w:rPr>
          <w:rFonts w:eastAsia="Lucida Sans Unicode"/>
          <w:iCs/>
          <w:color w:val="auto"/>
          <w:kern w:val="36"/>
          <w14:ligatures w14:val="none"/>
        </w:rPr>
        <w:t xml:space="preserve">We are all, no doubt aware of the definition of </w:t>
      </w:r>
      <w:r w:rsidR="00111030">
        <w:rPr>
          <w:rFonts w:eastAsia="Lucida Sans Unicode"/>
          <w:iCs/>
          <w:color w:val="auto"/>
          <w:kern w:val="36"/>
          <w14:ligatures w14:val="none"/>
        </w:rPr>
        <w:t xml:space="preserve">sustainability in the Framework, with its three components </w:t>
      </w:r>
      <w:r w:rsidR="002112AC">
        <w:rPr>
          <w:rFonts w:eastAsia="Lucida Sans Unicode"/>
          <w:iCs/>
          <w:color w:val="auto"/>
          <w:kern w:val="36"/>
          <w14:ligatures w14:val="none"/>
        </w:rPr>
        <w:t>– economic</w:t>
      </w:r>
      <w:r w:rsidR="00562514">
        <w:rPr>
          <w:rFonts w:eastAsia="Lucida Sans Unicode"/>
          <w:iCs/>
          <w:color w:val="auto"/>
          <w:kern w:val="36"/>
          <w14:ligatures w14:val="none"/>
        </w:rPr>
        <w:t xml:space="preserve">, </w:t>
      </w:r>
      <w:r w:rsidR="002112AC">
        <w:rPr>
          <w:rFonts w:eastAsia="Lucida Sans Unicode"/>
          <w:iCs/>
          <w:color w:val="auto"/>
          <w:kern w:val="36"/>
          <w14:ligatures w14:val="none"/>
        </w:rPr>
        <w:t xml:space="preserve">social and </w:t>
      </w:r>
      <w:r w:rsidR="009A1F55">
        <w:rPr>
          <w:rFonts w:eastAsia="Lucida Sans Unicode"/>
          <w:iCs/>
          <w:color w:val="auto"/>
          <w:kern w:val="36"/>
          <w14:ligatures w14:val="none"/>
        </w:rPr>
        <w:t>environmental</w:t>
      </w:r>
      <w:r w:rsidR="00562514">
        <w:rPr>
          <w:rFonts w:eastAsia="Lucida Sans Unicode"/>
          <w:iCs/>
          <w:color w:val="auto"/>
          <w:kern w:val="36"/>
          <w14:ligatures w14:val="none"/>
        </w:rPr>
        <w:t xml:space="preserve">. The provision of an adequate </w:t>
      </w:r>
      <w:r w:rsidR="00906C85">
        <w:rPr>
          <w:rFonts w:eastAsia="Lucida Sans Unicode"/>
          <w:iCs/>
          <w:color w:val="auto"/>
          <w:kern w:val="36"/>
          <w14:ligatures w14:val="none"/>
        </w:rPr>
        <w:t>supply</w:t>
      </w:r>
      <w:r w:rsidR="00562514">
        <w:rPr>
          <w:rFonts w:eastAsia="Lucida Sans Unicode"/>
          <w:iCs/>
          <w:color w:val="auto"/>
          <w:kern w:val="36"/>
          <w14:ligatures w14:val="none"/>
        </w:rPr>
        <w:t xml:space="preserve"> </w:t>
      </w:r>
      <w:r w:rsidR="00906C85">
        <w:rPr>
          <w:rFonts w:eastAsia="Lucida Sans Unicode"/>
          <w:iCs/>
          <w:color w:val="auto"/>
          <w:kern w:val="36"/>
          <w14:ligatures w14:val="none"/>
        </w:rPr>
        <w:t>of houses</w:t>
      </w:r>
      <w:r w:rsidR="00942F2B">
        <w:rPr>
          <w:rFonts w:eastAsia="Lucida Sans Unicode"/>
          <w:iCs/>
          <w:color w:val="auto"/>
          <w:kern w:val="36"/>
          <w14:ligatures w14:val="none"/>
        </w:rPr>
        <w:t xml:space="preserve">, </w:t>
      </w:r>
      <w:r w:rsidR="00167461">
        <w:rPr>
          <w:rFonts w:eastAsia="Lucida Sans Unicode"/>
          <w:iCs/>
          <w:color w:val="auto"/>
          <w:kern w:val="36"/>
          <w14:ligatures w14:val="none"/>
        </w:rPr>
        <w:t>where</w:t>
      </w:r>
      <w:r w:rsidR="00942F2B">
        <w:rPr>
          <w:rFonts w:eastAsia="Lucida Sans Unicode"/>
          <w:iCs/>
          <w:color w:val="auto"/>
          <w:kern w:val="36"/>
          <w14:ligatures w14:val="none"/>
        </w:rPr>
        <w:t xml:space="preserve"> the proposed development would play a part</w:t>
      </w:r>
      <w:r w:rsidR="00ED5ABA">
        <w:rPr>
          <w:rFonts w:eastAsia="Lucida Sans Unicode"/>
          <w:iCs/>
          <w:color w:val="auto"/>
          <w:kern w:val="36"/>
          <w14:ligatures w14:val="none"/>
        </w:rPr>
        <w:t>,</w:t>
      </w:r>
      <w:r w:rsidR="00942F2B">
        <w:rPr>
          <w:rFonts w:eastAsia="Lucida Sans Unicode"/>
          <w:iCs/>
          <w:color w:val="auto"/>
          <w:kern w:val="36"/>
          <w14:ligatures w14:val="none"/>
        </w:rPr>
        <w:t xml:space="preserve"> </w:t>
      </w:r>
      <w:r w:rsidR="00906C85">
        <w:rPr>
          <w:rFonts w:eastAsia="Lucida Sans Unicode"/>
          <w:iCs/>
          <w:color w:val="auto"/>
          <w:kern w:val="36"/>
          <w14:ligatures w14:val="none"/>
        </w:rPr>
        <w:t xml:space="preserve"> has a clear and advantage</w:t>
      </w:r>
      <w:r w:rsidR="00942F2B">
        <w:rPr>
          <w:rFonts w:eastAsia="Lucida Sans Unicode"/>
          <w:iCs/>
          <w:color w:val="auto"/>
          <w:kern w:val="36"/>
          <w14:ligatures w14:val="none"/>
        </w:rPr>
        <w:t xml:space="preserve">s in  terms of the </w:t>
      </w:r>
      <w:r w:rsidR="00503CD6">
        <w:rPr>
          <w:rFonts w:eastAsia="Lucida Sans Unicode"/>
          <w:iCs/>
          <w:color w:val="auto"/>
          <w:kern w:val="36"/>
          <w14:ligatures w14:val="none"/>
        </w:rPr>
        <w:t>economic and social objectives.</w:t>
      </w:r>
    </w:p>
    <w:p w14:paraId="05CBF0C5" w14:textId="77777777" w:rsidR="00503CD6" w:rsidRDefault="00503CD6" w:rsidP="008A625B">
      <w:pPr>
        <w:pStyle w:val="Default"/>
        <w:spacing w:line="360" w:lineRule="auto"/>
        <w:rPr>
          <w:rFonts w:eastAsia="Lucida Sans Unicode"/>
          <w:iCs/>
          <w:color w:val="auto"/>
          <w:kern w:val="36"/>
          <w14:ligatures w14:val="none"/>
        </w:rPr>
      </w:pPr>
    </w:p>
    <w:p w14:paraId="2CAE5146" w14:textId="250025BB" w:rsidR="009C007E" w:rsidRDefault="00503CD6" w:rsidP="008A625B">
      <w:pPr>
        <w:pStyle w:val="Default"/>
        <w:spacing w:line="360" w:lineRule="auto"/>
        <w:rPr>
          <w:rFonts w:eastAsia="Lucida Sans Unicode"/>
          <w:iCs/>
          <w:color w:val="auto"/>
          <w:kern w:val="36"/>
          <w14:ligatures w14:val="none"/>
        </w:rPr>
      </w:pPr>
      <w:r>
        <w:rPr>
          <w:rFonts w:eastAsia="Lucida Sans Unicode"/>
          <w:iCs/>
          <w:color w:val="auto"/>
          <w:kern w:val="36"/>
          <w14:ligatures w14:val="none"/>
        </w:rPr>
        <w:t xml:space="preserve">So far as the environmental </w:t>
      </w:r>
      <w:r w:rsidR="00C05C9F">
        <w:rPr>
          <w:rFonts w:eastAsia="Lucida Sans Unicode"/>
          <w:iCs/>
          <w:color w:val="auto"/>
          <w:kern w:val="36"/>
          <w14:ligatures w14:val="none"/>
        </w:rPr>
        <w:t xml:space="preserve">component of </w:t>
      </w:r>
      <w:r w:rsidR="00167461">
        <w:rPr>
          <w:rFonts w:eastAsia="Lucida Sans Unicode"/>
          <w:iCs/>
          <w:color w:val="auto"/>
          <w:kern w:val="36"/>
          <w14:ligatures w14:val="none"/>
        </w:rPr>
        <w:t>sustainability</w:t>
      </w:r>
      <w:r w:rsidR="00C05C9F">
        <w:rPr>
          <w:rFonts w:eastAsia="Lucida Sans Unicode"/>
          <w:iCs/>
          <w:color w:val="auto"/>
          <w:kern w:val="36"/>
          <w14:ligatures w14:val="none"/>
        </w:rPr>
        <w:t xml:space="preserve">  is concerned, the </w:t>
      </w:r>
      <w:r w:rsidR="00ED5ABA">
        <w:rPr>
          <w:rFonts w:eastAsia="Lucida Sans Unicode"/>
          <w:iCs/>
          <w:color w:val="auto"/>
          <w:kern w:val="36"/>
          <w14:ligatures w14:val="none"/>
        </w:rPr>
        <w:t>I</w:t>
      </w:r>
      <w:r w:rsidR="00C05C9F">
        <w:rPr>
          <w:rFonts w:eastAsia="Lucida Sans Unicode"/>
          <w:iCs/>
          <w:color w:val="auto"/>
          <w:kern w:val="36"/>
          <w14:ligatures w14:val="none"/>
        </w:rPr>
        <w:t xml:space="preserve">nspector when </w:t>
      </w:r>
      <w:r w:rsidR="00167461">
        <w:rPr>
          <w:rFonts w:eastAsia="Lucida Sans Unicode"/>
          <w:iCs/>
          <w:color w:val="auto"/>
          <w:kern w:val="36"/>
          <w14:ligatures w14:val="none"/>
        </w:rPr>
        <w:t>determining</w:t>
      </w:r>
      <w:r w:rsidR="00C05C9F">
        <w:rPr>
          <w:rFonts w:eastAsia="Lucida Sans Unicode"/>
          <w:iCs/>
          <w:color w:val="auto"/>
          <w:kern w:val="36"/>
          <w14:ligatures w14:val="none"/>
        </w:rPr>
        <w:t xml:space="preserve"> the earlier appeal</w:t>
      </w:r>
      <w:r w:rsidR="000C1BBA">
        <w:rPr>
          <w:rFonts w:eastAsia="Lucida Sans Unicode"/>
          <w:iCs/>
          <w:color w:val="auto"/>
          <w:kern w:val="36"/>
          <w14:ligatures w14:val="none"/>
        </w:rPr>
        <w:t xml:space="preserve">, considered this in terms of </w:t>
      </w:r>
      <w:r w:rsidR="00167461">
        <w:rPr>
          <w:rFonts w:eastAsia="Lucida Sans Unicode"/>
          <w:iCs/>
          <w:color w:val="auto"/>
          <w:kern w:val="36"/>
          <w14:ligatures w14:val="none"/>
        </w:rPr>
        <w:t xml:space="preserve">the </w:t>
      </w:r>
      <w:r w:rsidR="000C1BBA">
        <w:rPr>
          <w:rFonts w:eastAsia="Lucida Sans Unicode"/>
          <w:iCs/>
          <w:color w:val="auto"/>
          <w:kern w:val="36"/>
          <w14:ligatures w14:val="none"/>
        </w:rPr>
        <w:t xml:space="preserve"> </w:t>
      </w:r>
      <w:r w:rsidR="00167461">
        <w:rPr>
          <w:rFonts w:eastAsia="Lucida Sans Unicode"/>
          <w:iCs/>
          <w:color w:val="auto"/>
          <w:kern w:val="36"/>
          <w14:ligatures w14:val="none"/>
        </w:rPr>
        <w:t>impact</w:t>
      </w:r>
      <w:r w:rsidR="000C1BBA">
        <w:rPr>
          <w:rFonts w:eastAsia="Lucida Sans Unicode"/>
          <w:iCs/>
          <w:color w:val="auto"/>
          <w:kern w:val="36"/>
          <w14:ligatures w14:val="none"/>
        </w:rPr>
        <w:t xml:space="preserve"> upon </w:t>
      </w:r>
      <w:r w:rsidR="00167461">
        <w:rPr>
          <w:rFonts w:eastAsia="Lucida Sans Unicode"/>
          <w:iCs/>
          <w:color w:val="auto"/>
          <w:kern w:val="36"/>
          <w14:ligatures w14:val="none"/>
        </w:rPr>
        <w:t xml:space="preserve"> the proposed development </w:t>
      </w:r>
      <w:r w:rsidR="008453E6">
        <w:rPr>
          <w:rFonts w:eastAsia="Lucida Sans Unicode"/>
          <w:iCs/>
          <w:color w:val="auto"/>
          <w:kern w:val="36"/>
          <w14:ligatures w14:val="none"/>
        </w:rPr>
        <w:t>in relation</w:t>
      </w:r>
      <w:r w:rsidR="00534561">
        <w:rPr>
          <w:rFonts w:eastAsia="Lucida Sans Unicode"/>
          <w:iCs/>
          <w:color w:val="auto"/>
          <w:kern w:val="36"/>
          <w14:ligatures w14:val="none"/>
        </w:rPr>
        <w:t xml:space="preserve"> t</w:t>
      </w:r>
      <w:r w:rsidR="000C1BBA">
        <w:rPr>
          <w:rFonts w:eastAsia="Lucida Sans Unicode"/>
          <w:iCs/>
          <w:color w:val="auto"/>
          <w:kern w:val="36"/>
          <w14:ligatures w14:val="none"/>
        </w:rPr>
        <w:t xml:space="preserve">he setting of the nearby </w:t>
      </w:r>
      <w:r w:rsidR="00167461">
        <w:rPr>
          <w:rFonts w:eastAsia="Lucida Sans Unicode"/>
          <w:iCs/>
          <w:color w:val="auto"/>
          <w:kern w:val="36"/>
          <w14:ligatures w14:val="none"/>
        </w:rPr>
        <w:t>non</w:t>
      </w:r>
      <w:r w:rsidR="00534561">
        <w:rPr>
          <w:rFonts w:eastAsia="Lucida Sans Unicode"/>
          <w:iCs/>
          <w:color w:val="auto"/>
          <w:kern w:val="36"/>
          <w14:ligatures w14:val="none"/>
        </w:rPr>
        <w:t>-</w:t>
      </w:r>
      <w:r w:rsidR="00167461">
        <w:rPr>
          <w:rFonts w:eastAsia="Lucida Sans Unicode"/>
          <w:iCs/>
          <w:color w:val="auto"/>
          <w:kern w:val="36"/>
          <w14:ligatures w14:val="none"/>
        </w:rPr>
        <w:t xml:space="preserve">statutory </w:t>
      </w:r>
      <w:r w:rsidR="00534561">
        <w:rPr>
          <w:rFonts w:eastAsia="Lucida Sans Unicode"/>
          <w:iCs/>
          <w:color w:val="auto"/>
          <w:kern w:val="36"/>
          <w14:ligatures w14:val="none"/>
        </w:rPr>
        <w:t>heritage</w:t>
      </w:r>
      <w:r w:rsidR="00167461">
        <w:rPr>
          <w:rFonts w:eastAsia="Lucida Sans Unicode"/>
          <w:iCs/>
          <w:color w:val="auto"/>
          <w:kern w:val="36"/>
          <w14:ligatures w14:val="none"/>
        </w:rPr>
        <w:t xml:space="preserve"> assets,</w:t>
      </w:r>
      <w:r w:rsidR="00534561">
        <w:rPr>
          <w:rFonts w:eastAsia="Lucida Sans Unicode"/>
          <w:iCs/>
          <w:color w:val="auto"/>
          <w:kern w:val="36"/>
          <w14:ligatures w14:val="none"/>
        </w:rPr>
        <w:t xml:space="preserve"> </w:t>
      </w:r>
      <w:r w:rsidR="008453E6">
        <w:rPr>
          <w:rFonts w:eastAsia="Lucida Sans Unicode"/>
          <w:iCs/>
          <w:color w:val="auto"/>
          <w:kern w:val="36"/>
          <w14:ligatures w14:val="none"/>
        </w:rPr>
        <w:t xml:space="preserve">and also to its wider environmental </w:t>
      </w:r>
      <w:r w:rsidR="00DB29A3">
        <w:rPr>
          <w:rFonts w:eastAsia="Lucida Sans Unicode"/>
          <w:iCs/>
          <w:color w:val="auto"/>
          <w:kern w:val="36"/>
          <w14:ligatures w14:val="none"/>
        </w:rPr>
        <w:t xml:space="preserve">impact, </w:t>
      </w:r>
      <w:r w:rsidR="00534561">
        <w:rPr>
          <w:rFonts w:eastAsia="Lucida Sans Unicode"/>
          <w:iCs/>
          <w:color w:val="auto"/>
          <w:kern w:val="36"/>
          <w14:ligatures w14:val="none"/>
        </w:rPr>
        <w:t xml:space="preserve">concluding as </w:t>
      </w:r>
      <w:r w:rsidR="00167461">
        <w:rPr>
          <w:rFonts w:eastAsia="Lucida Sans Unicode"/>
          <w:iCs/>
          <w:color w:val="auto"/>
          <w:kern w:val="36"/>
          <w14:ligatures w14:val="none"/>
        </w:rPr>
        <w:t>follows: -</w:t>
      </w:r>
      <w:r w:rsidR="00906C85">
        <w:rPr>
          <w:rFonts w:eastAsia="Lucida Sans Unicode"/>
          <w:iCs/>
          <w:color w:val="auto"/>
          <w:kern w:val="36"/>
          <w14:ligatures w14:val="none"/>
        </w:rPr>
        <w:t xml:space="preserve"> </w:t>
      </w:r>
    </w:p>
    <w:p w14:paraId="72B09220" w14:textId="77777777" w:rsidR="00E51720" w:rsidRDefault="00E51720" w:rsidP="008A625B">
      <w:pPr>
        <w:pStyle w:val="Default"/>
        <w:spacing w:line="360" w:lineRule="auto"/>
        <w:rPr>
          <w:i/>
          <w:iCs/>
        </w:rPr>
      </w:pPr>
    </w:p>
    <w:p w14:paraId="6830B8A7" w14:textId="1AFF357C" w:rsidR="00AD50E9" w:rsidRPr="00AD50E9" w:rsidRDefault="00DA4A01" w:rsidP="00AD50E9">
      <w:pPr>
        <w:pStyle w:val="Default"/>
        <w:spacing w:line="360" w:lineRule="auto"/>
        <w:rPr>
          <w:i/>
          <w:iCs/>
        </w:rPr>
      </w:pPr>
      <w:r>
        <w:rPr>
          <w:i/>
          <w:iCs/>
        </w:rPr>
        <w:t>‘</w:t>
      </w:r>
      <w:r w:rsidR="00AD50E9" w:rsidRPr="00AD50E9">
        <w:rPr>
          <w:i/>
          <w:iCs/>
        </w:rPr>
        <w:t>21. Paragraph 216 of the Framework requires that the effect of a proposal on the significance of a non-designated heritage asset should be taken into account in determining the application and states that a balanced judgement will be required having regard to the scale of any harm and the significance of the heritage asset.</w:t>
      </w:r>
    </w:p>
    <w:p w14:paraId="563C3391" w14:textId="41E4A70D" w:rsidR="00AD50E9" w:rsidRDefault="00AD50E9" w:rsidP="00AD50E9">
      <w:pPr>
        <w:pStyle w:val="Default"/>
        <w:spacing w:line="360" w:lineRule="auto"/>
        <w:rPr>
          <w:i/>
          <w:iCs/>
        </w:rPr>
      </w:pPr>
      <w:r w:rsidRPr="00AD50E9">
        <w:rPr>
          <w:i/>
          <w:iCs/>
        </w:rPr>
        <w:t>22. The terraced buildings at Salley Street have been identified as non-designated heritage assets and their significance derives from the historic use as weaver cottages. The cabin lies some distance from the terrace and is set back from the road. If viewed from the Pennine Bridleway, which is higher than and to the rear of the cabin, the rear of the terraces are visible. However, the landscaping around the site will mature and allow the cabin to be less prominent in the views. I therefore consider that the cabin has a neutral impact of the setting of the non-designated heritage assets</w:t>
      </w:r>
      <w:r w:rsidR="00DA4A01">
        <w:rPr>
          <w:i/>
          <w:iCs/>
        </w:rPr>
        <w:t>’</w:t>
      </w:r>
      <w:r w:rsidRPr="00AD50E9">
        <w:rPr>
          <w:i/>
          <w:iCs/>
        </w:rPr>
        <w:t>.</w:t>
      </w:r>
    </w:p>
    <w:p w14:paraId="3DD4927B" w14:textId="77777777" w:rsidR="002E2FF9" w:rsidRDefault="002E2FF9" w:rsidP="00AD50E9">
      <w:pPr>
        <w:pStyle w:val="Default"/>
        <w:spacing w:line="360" w:lineRule="auto"/>
        <w:rPr>
          <w:i/>
          <w:iCs/>
        </w:rPr>
      </w:pPr>
    </w:p>
    <w:p w14:paraId="027A4064" w14:textId="08C1CAA3" w:rsidR="002E2FF9" w:rsidRPr="007B16AF" w:rsidRDefault="002E2FF9" w:rsidP="00AD50E9">
      <w:pPr>
        <w:pStyle w:val="Default"/>
        <w:spacing w:line="360" w:lineRule="auto"/>
      </w:pPr>
      <w:r w:rsidRPr="007B16AF">
        <w:lastRenderedPageBreak/>
        <w:t>The LPA , in its email to us of 9 March 2026 concerning our Grey Belt assessment, simpl</w:t>
      </w:r>
      <w:r w:rsidR="00D60539" w:rsidRPr="007B16AF">
        <w:t xml:space="preserve">y </w:t>
      </w:r>
      <w:r w:rsidRPr="007B16AF">
        <w:t xml:space="preserve">says that it does not consider the site to be sustainably located. It does not say why it </w:t>
      </w:r>
      <w:r w:rsidR="00D60539" w:rsidRPr="007B16AF">
        <w:t>considers</w:t>
      </w:r>
      <w:r w:rsidRPr="007B16AF">
        <w:t xml:space="preserve"> this to be the ca</w:t>
      </w:r>
      <w:r w:rsidR="00D60539" w:rsidRPr="007B16AF">
        <w:t>s</w:t>
      </w:r>
      <w:r w:rsidRPr="007B16AF">
        <w:t>e</w:t>
      </w:r>
      <w:r w:rsidR="00C47840">
        <w:t>,</w:t>
      </w:r>
      <w:r w:rsidR="007B16AF">
        <w:t xml:space="preserve"> </w:t>
      </w:r>
      <w:r w:rsidR="00D60539" w:rsidRPr="007B16AF">
        <w:t xml:space="preserve">and it does not address the above </w:t>
      </w:r>
      <w:r w:rsidR="007B16AF" w:rsidRPr="007B16AF">
        <w:t xml:space="preserve">reasoning that it is sustainably located. </w:t>
      </w:r>
    </w:p>
    <w:p w14:paraId="092BAB89" w14:textId="77777777" w:rsidR="00A7111C" w:rsidRDefault="00A7111C" w:rsidP="00A95981">
      <w:pPr>
        <w:pStyle w:val="Default"/>
        <w:spacing w:line="360" w:lineRule="auto"/>
        <w:rPr>
          <w:u w:val="single"/>
        </w:rPr>
      </w:pPr>
    </w:p>
    <w:p w14:paraId="05BFE353" w14:textId="6BD2985A" w:rsidR="009D0FD2" w:rsidRDefault="00520007" w:rsidP="00A95981">
      <w:pPr>
        <w:pStyle w:val="Default"/>
        <w:spacing w:line="360" w:lineRule="auto"/>
        <w:rPr>
          <w:u w:val="single"/>
        </w:rPr>
      </w:pPr>
      <w:r w:rsidRPr="00CF74F7">
        <w:rPr>
          <w:u w:val="single"/>
        </w:rPr>
        <w:t>Conc</w:t>
      </w:r>
      <w:r w:rsidR="00CF74F7" w:rsidRPr="00CF74F7">
        <w:rPr>
          <w:u w:val="single"/>
        </w:rPr>
        <w:t>l</w:t>
      </w:r>
      <w:r w:rsidRPr="00CF74F7">
        <w:rPr>
          <w:u w:val="single"/>
        </w:rPr>
        <w:t>usion regarding development on grey belt land</w:t>
      </w:r>
    </w:p>
    <w:p w14:paraId="2BA18581" w14:textId="305531E7" w:rsidR="00CF74F7" w:rsidRDefault="00CF033C" w:rsidP="00A95981">
      <w:pPr>
        <w:pStyle w:val="Default"/>
        <w:spacing w:line="360" w:lineRule="auto"/>
      </w:pPr>
      <w:r w:rsidRPr="00E90CAB">
        <w:t>The propose</w:t>
      </w:r>
      <w:r w:rsidR="00DB29A3">
        <w:t>d</w:t>
      </w:r>
      <w:r w:rsidRPr="00E90CAB">
        <w:t xml:space="preserve"> development is not inappropriate in the </w:t>
      </w:r>
      <w:r w:rsidR="00DB29A3">
        <w:t>G</w:t>
      </w:r>
      <w:r w:rsidRPr="00E90CAB">
        <w:t>reen Belt</w:t>
      </w:r>
      <w:r w:rsidR="000B36A3" w:rsidRPr="00E90CAB">
        <w:t xml:space="preserve">, being grey belt land and where the necessary requirements in terms of ‘need’ and </w:t>
      </w:r>
      <w:r w:rsidR="00E90CAB" w:rsidRPr="00E90CAB">
        <w:t>‘</w:t>
      </w:r>
      <w:r w:rsidR="00A7111C" w:rsidRPr="00E90CAB">
        <w:t>sustainability</w:t>
      </w:r>
      <w:r w:rsidR="00E90CAB" w:rsidRPr="00E90CAB">
        <w:t>’</w:t>
      </w:r>
      <w:r w:rsidR="000B36A3" w:rsidRPr="00E90CAB">
        <w:t xml:space="preserve"> are met</w:t>
      </w:r>
      <w:r w:rsidR="00A7111C">
        <w:t>.</w:t>
      </w:r>
      <w:r w:rsidR="00E90CAB">
        <w:t>(The other requi</w:t>
      </w:r>
      <w:r w:rsidR="00A7111C">
        <w:t>re</w:t>
      </w:r>
      <w:r w:rsidR="00E90CAB">
        <w:t xml:space="preserve">ment referred to in the </w:t>
      </w:r>
      <w:r w:rsidR="00A7111C">
        <w:t>Framework</w:t>
      </w:r>
      <w:r w:rsidR="00E90CAB">
        <w:t xml:space="preserve"> to ‘golden rules’,</w:t>
      </w:r>
      <w:r w:rsidR="00A7111C">
        <w:t xml:space="preserve"> is only applicable to major development)</w:t>
      </w:r>
      <w:r w:rsidR="00D352B8">
        <w:t xml:space="preserve">. </w:t>
      </w:r>
    </w:p>
    <w:p w14:paraId="003BF3C3" w14:textId="77777777" w:rsidR="00E93722" w:rsidRDefault="00E93722" w:rsidP="00A95981">
      <w:pPr>
        <w:pStyle w:val="Default"/>
        <w:spacing w:line="360" w:lineRule="auto"/>
      </w:pPr>
    </w:p>
    <w:p w14:paraId="416AAD58" w14:textId="18729E9F" w:rsidR="00D352B8" w:rsidRDefault="00D352B8" w:rsidP="009F1A5C">
      <w:pPr>
        <w:pStyle w:val="Default"/>
        <w:spacing w:after="240" w:line="360" w:lineRule="auto"/>
      </w:pPr>
      <w:r>
        <w:t xml:space="preserve">The  exception </w:t>
      </w:r>
      <w:r w:rsidR="00546E1A">
        <w:t>for grey belt development does not require an assessment to be made regarding the impact upon openness</w:t>
      </w:r>
      <w:r w:rsidR="00260D0C">
        <w:t>.</w:t>
      </w:r>
    </w:p>
    <w:p w14:paraId="796474DD" w14:textId="77777777" w:rsidR="007B761F" w:rsidRDefault="007B761F" w:rsidP="009F1A5C">
      <w:pPr>
        <w:pStyle w:val="Default"/>
        <w:spacing w:after="240" w:line="360" w:lineRule="auto"/>
      </w:pPr>
    </w:p>
    <w:p w14:paraId="5947A230" w14:textId="270A8D67" w:rsidR="007B761F" w:rsidRPr="00421B7B" w:rsidRDefault="00D13203" w:rsidP="009F1A5C">
      <w:pPr>
        <w:pStyle w:val="Default"/>
        <w:spacing w:after="240" w:line="360" w:lineRule="auto"/>
        <w:rPr>
          <w:b/>
          <w:bCs/>
          <w:color w:val="auto"/>
          <w:u w:val="single"/>
        </w:rPr>
      </w:pPr>
      <w:r w:rsidRPr="00421B7B">
        <w:rPr>
          <w:b/>
          <w:bCs/>
          <w:color w:val="auto"/>
          <w:u w:val="single"/>
        </w:rPr>
        <w:t xml:space="preserve">The Lawfulness of the building and  paragraph </w:t>
      </w:r>
      <w:r w:rsidR="00452986" w:rsidRPr="00421B7B">
        <w:rPr>
          <w:b/>
          <w:bCs/>
          <w:color w:val="auto"/>
          <w:u w:val="single"/>
        </w:rPr>
        <w:t xml:space="preserve">154(h) (iv) </w:t>
      </w:r>
      <w:r w:rsidRPr="00421B7B">
        <w:rPr>
          <w:b/>
          <w:bCs/>
          <w:color w:val="auto"/>
          <w:u w:val="single"/>
        </w:rPr>
        <w:t>of the Framework</w:t>
      </w:r>
    </w:p>
    <w:p w14:paraId="6D2E98F3" w14:textId="37ADF3C3" w:rsidR="006508EF" w:rsidRDefault="00925422" w:rsidP="009F1A5C">
      <w:pPr>
        <w:pStyle w:val="Default"/>
        <w:spacing w:after="240" w:line="360" w:lineRule="auto"/>
        <w:rPr>
          <w:color w:val="auto"/>
        </w:rPr>
      </w:pPr>
      <w:r w:rsidRPr="00452986">
        <w:rPr>
          <w:color w:val="auto"/>
        </w:rPr>
        <w:t xml:space="preserve">The building was substantially completed before </w:t>
      </w:r>
      <w:r w:rsidR="00B80862" w:rsidRPr="00452986">
        <w:rPr>
          <w:color w:val="auto"/>
        </w:rPr>
        <w:t>25 April 2024</w:t>
      </w:r>
      <w:r w:rsidR="0002475C">
        <w:rPr>
          <w:color w:val="auto"/>
        </w:rPr>
        <w:t xml:space="preserve">. </w:t>
      </w:r>
      <w:r w:rsidR="0001022D">
        <w:rPr>
          <w:color w:val="auto"/>
        </w:rPr>
        <w:t xml:space="preserve">It was </w:t>
      </w:r>
      <w:r w:rsidR="000129BC">
        <w:rPr>
          <w:color w:val="auto"/>
        </w:rPr>
        <w:t xml:space="preserve">completed over 4 years ago. . </w:t>
      </w:r>
    </w:p>
    <w:p w14:paraId="2CECB993" w14:textId="4EB04680" w:rsidR="00D13203" w:rsidRDefault="00F352F8" w:rsidP="009F1A5C">
      <w:pPr>
        <w:pStyle w:val="Default"/>
        <w:spacing w:after="240" w:line="360" w:lineRule="auto"/>
        <w:rPr>
          <w:color w:val="EE0000"/>
        </w:rPr>
      </w:pPr>
      <w:r w:rsidRPr="00452986">
        <w:rPr>
          <w:color w:val="auto"/>
        </w:rPr>
        <w:t>Thus</w:t>
      </w:r>
      <w:r w:rsidR="00CD1C6F">
        <w:rPr>
          <w:color w:val="auto"/>
        </w:rPr>
        <w:t>,</w:t>
      </w:r>
      <w:r w:rsidRPr="00452986">
        <w:rPr>
          <w:color w:val="auto"/>
        </w:rPr>
        <w:t xml:space="preserve"> it </w:t>
      </w:r>
      <w:r w:rsidR="007D1646" w:rsidRPr="00452986">
        <w:rPr>
          <w:color w:val="auto"/>
        </w:rPr>
        <w:t xml:space="preserve">is lawful through the passage of time and where it is </w:t>
      </w:r>
      <w:r w:rsidR="00A4317F" w:rsidRPr="003F5294">
        <w:rPr>
          <w:rFonts w:eastAsia="Times New Roman"/>
          <w:color w:val="auto"/>
          <w:lang w:eastAsia="en-GB"/>
        </w:rPr>
        <w:t xml:space="preserve">immune from enforcement </w:t>
      </w:r>
      <w:r w:rsidR="00A4317F">
        <w:rPr>
          <w:rFonts w:eastAsia="Times New Roman"/>
          <w:color w:val="auto"/>
          <w:lang w:eastAsia="en-GB"/>
        </w:rPr>
        <w:t>whe</w:t>
      </w:r>
      <w:r w:rsidR="003734CF">
        <w:rPr>
          <w:rFonts w:eastAsia="Times New Roman"/>
          <w:color w:val="auto"/>
          <w:lang w:eastAsia="en-GB"/>
        </w:rPr>
        <w:t xml:space="preserve">re </w:t>
      </w:r>
      <w:r w:rsidR="00A4317F" w:rsidRPr="003F5294">
        <w:rPr>
          <w:rFonts w:eastAsia="Times New Roman"/>
          <w:color w:val="auto"/>
          <w:lang w:eastAsia="en-GB"/>
        </w:rPr>
        <w:t xml:space="preserve">no action </w:t>
      </w:r>
      <w:r w:rsidR="00A4317F">
        <w:rPr>
          <w:rFonts w:eastAsia="Times New Roman"/>
          <w:color w:val="auto"/>
          <w:lang w:eastAsia="en-GB"/>
        </w:rPr>
        <w:t xml:space="preserve">has been </w:t>
      </w:r>
      <w:r w:rsidR="00A4317F" w:rsidRPr="003F5294">
        <w:rPr>
          <w:rFonts w:eastAsia="Times New Roman"/>
          <w:color w:val="auto"/>
          <w:lang w:eastAsia="en-GB"/>
        </w:rPr>
        <w:t>taken</w:t>
      </w:r>
      <w:r w:rsidR="00A4317F" w:rsidRPr="00D13203">
        <w:rPr>
          <w:rFonts w:eastAsia="Times New Roman"/>
          <w:color w:val="auto"/>
          <w:lang w:eastAsia="en-GB"/>
        </w:rPr>
        <w:t xml:space="preserve">  </w:t>
      </w:r>
      <w:r w:rsidR="00A4317F" w:rsidRPr="003F5294">
        <w:rPr>
          <w:rFonts w:eastAsia="Times New Roman"/>
          <w:color w:val="auto"/>
          <w:lang w:eastAsia="en-GB"/>
        </w:rPr>
        <w:t xml:space="preserve">within 4 years of substantial completion </w:t>
      </w:r>
      <w:r w:rsidR="00A7138C">
        <w:rPr>
          <w:rFonts w:eastAsia="Times New Roman"/>
          <w:color w:val="auto"/>
          <w:lang w:eastAsia="en-GB"/>
        </w:rPr>
        <w:t xml:space="preserve">of any </w:t>
      </w:r>
      <w:r w:rsidR="00A4317F" w:rsidRPr="003F5294">
        <w:rPr>
          <w:rFonts w:eastAsia="Times New Roman"/>
          <w:color w:val="auto"/>
          <w:lang w:eastAsia="en-GB"/>
        </w:rPr>
        <w:t>breach of planning control consisting of operational development</w:t>
      </w:r>
      <w:r w:rsidR="003734CF">
        <w:rPr>
          <w:rFonts w:eastAsia="Times New Roman"/>
          <w:color w:val="auto"/>
          <w:lang w:eastAsia="en-GB"/>
        </w:rPr>
        <w:t>.</w:t>
      </w:r>
    </w:p>
    <w:p w14:paraId="139357B5" w14:textId="77777777" w:rsidR="00D13203" w:rsidRPr="003F5294" w:rsidRDefault="00D13203" w:rsidP="00B35985">
      <w:pPr>
        <w:shd w:val="clear" w:color="auto" w:fill="FFFFFF"/>
        <w:spacing w:after="300" w:line="360" w:lineRule="auto"/>
        <w:ind w:firstLine="0"/>
        <w:jc w:val="left"/>
        <w:rPr>
          <w:rFonts w:eastAsia="Times New Roman"/>
          <w:lang w:eastAsia="en-GB"/>
        </w:rPr>
      </w:pPr>
      <w:r w:rsidRPr="003F5294">
        <w:rPr>
          <w:rFonts w:eastAsia="Times New Roman"/>
          <w:lang w:eastAsia="en-GB"/>
        </w:rPr>
        <w:t>The time limits for taking enforcement action are set out in </w:t>
      </w:r>
      <w:hyperlink r:id="rId11" w:history="1">
        <w:r w:rsidRPr="003F5294">
          <w:rPr>
            <w:rFonts w:eastAsia="Times New Roman"/>
            <w:lang w:eastAsia="en-GB"/>
          </w:rPr>
          <w:t>section 171B of the Town and Country Planning Act 1990</w:t>
        </w:r>
      </w:hyperlink>
      <w:r w:rsidRPr="003F5294">
        <w:rPr>
          <w:rFonts w:eastAsia="Times New Roman"/>
          <w:lang w:eastAsia="en-GB"/>
        </w:rPr>
        <w:t> (see also </w:t>
      </w:r>
      <w:hyperlink r:id="rId12" w:history="1">
        <w:r w:rsidRPr="003F5294">
          <w:rPr>
            <w:rFonts w:eastAsia="Times New Roman"/>
            <w:lang w:eastAsia="en-GB"/>
          </w:rPr>
          <w:t>The Planning Act 2008 (Commencement No. 8) and Levelling-up and Regeneration Act 2023 (Commencement No. 4 and Transitional Provisions) Regulations 2024</w:t>
        </w:r>
      </w:hyperlink>
      <w:r w:rsidRPr="003F5294">
        <w:rPr>
          <w:rFonts w:eastAsia="Times New Roman"/>
          <w:lang w:eastAsia="en-GB"/>
        </w:rPr>
        <w:t> for transitional arrangements).</w:t>
      </w:r>
    </w:p>
    <w:p w14:paraId="6EA6BB44" w14:textId="3CF57EBB" w:rsidR="009E15E3" w:rsidRDefault="00AF0E8A" w:rsidP="00B35985">
      <w:pPr>
        <w:ind w:firstLine="0"/>
        <w:jc w:val="left"/>
        <w:rPr>
          <w:rFonts w:ascii="Tahoma" w:hAnsi="Tahoma" w:cstheme="minorBidi"/>
          <w:kern w:val="0"/>
        </w:rPr>
      </w:pPr>
      <w:r w:rsidRPr="00B35985">
        <w:t>Moreover,</w:t>
      </w:r>
      <w:r>
        <w:rPr>
          <w:color w:val="EE0000"/>
        </w:rPr>
        <w:t xml:space="preserve"> </w:t>
      </w:r>
      <w:r w:rsidR="009E15E3">
        <w:rPr>
          <w:rFonts w:ascii="Tahoma" w:hAnsi="Tahoma" w:cstheme="minorBidi"/>
        </w:rPr>
        <w:t>Paragraph 154</w:t>
      </w:r>
      <w:r w:rsidR="00452986">
        <w:rPr>
          <w:rFonts w:ascii="Tahoma" w:hAnsi="Tahoma" w:cstheme="minorBidi"/>
        </w:rPr>
        <w:t xml:space="preserve"> </w:t>
      </w:r>
      <w:r w:rsidR="009E15E3">
        <w:rPr>
          <w:rFonts w:ascii="Tahoma" w:hAnsi="Tahoma" w:cstheme="minorBidi"/>
        </w:rPr>
        <w:t xml:space="preserve">(h) (iv) of the Framework permits the following </w:t>
      </w:r>
    </w:p>
    <w:p w14:paraId="0D6B1917" w14:textId="77777777" w:rsidR="009E15E3" w:rsidRDefault="009E15E3" w:rsidP="009E15E3">
      <w:pPr>
        <w:pStyle w:val="Default"/>
        <w:numPr>
          <w:ilvl w:val="0"/>
          <w:numId w:val="4"/>
        </w:numPr>
        <w:rPr>
          <w:i/>
          <w:iCs/>
          <w:sz w:val="23"/>
          <w:szCs w:val="23"/>
        </w:rPr>
      </w:pPr>
    </w:p>
    <w:p w14:paraId="60AE44B8" w14:textId="77777777" w:rsidR="009E15E3" w:rsidRPr="00B35985" w:rsidRDefault="009E15E3" w:rsidP="00B35985">
      <w:pPr>
        <w:pStyle w:val="Default"/>
        <w:numPr>
          <w:ilvl w:val="0"/>
          <w:numId w:val="4"/>
        </w:numPr>
        <w:spacing w:line="360" w:lineRule="auto"/>
        <w:rPr>
          <w:i/>
          <w:iCs/>
        </w:rPr>
      </w:pPr>
      <w:r w:rsidRPr="00B35985">
        <w:rPr>
          <w:i/>
          <w:iCs/>
        </w:rPr>
        <w:t xml:space="preserve">‘Other forms of development provided they preserve its openness and do not conflict with the purposes of including land within it. These are: </w:t>
      </w:r>
    </w:p>
    <w:p w14:paraId="188F3DFC" w14:textId="77777777" w:rsidR="009E15E3" w:rsidRPr="00B35985" w:rsidRDefault="009E15E3" w:rsidP="00B35985">
      <w:pPr>
        <w:pStyle w:val="Default"/>
        <w:spacing w:line="360" w:lineRule="auto"/>
        <w:rPr>
          <w:i/>
          <w:iCs/>
        </w:rPr>
      </w:pPr>
    </w:p>
    <w:p w14:paraId="4A4998AE" w14:textId="77777777" w:rsidR="009E15E3" w:rsidRDefault="009E15E3" w:rsidP="00B35985">
      <w:pPr>
        <w:pStyle w:val="Default"/>
        <w:spacing w:line="360" w:lineRule="auto"/>
        <w:rPr>
          <w:i/>
          <w:iCs/>
          <w:sz w:val="23"/>
          <w:szCs w:val="23"/>
        </w:rPr>
      </w:pPr>
      <w:r w:rsidRPr="00B35985">
        <w:rPr>
          <w:i/>
          <w:iCs/>
        </w:rPr>
        <w:lastRenderedPageBreak/>
        <w:t>(iv) the re-use of buildings provided that the buildings are of permanent and substantial construction’</w:t>
      </w:r>
      <w:r>
        <w:rPr>
          <w:i/>
          <w:iCs/>
          <w:sz w:val="23"/>
          <w:szCs w:val="23"/>
        </w:rPr>
        <w:t xml:space="preserve">; </w:t>
      </w:r>
    </w:p>
    <w:p w14:paraId="04732488" w14:textId="77777777" w:rsidR="009E15E3" w:rsidRDefault="009E15E3" w:rsidP="009E15E3">
      <w:pPr>
        <w:pStyle w:val="Default"/>
        <w:rPr>
          <w:i/>
          <w:iCs/>
          <w:sz w:val="23"/>
          <w:szCs w:val="23"/>
        </w:rPr>
      </w:pPr>
    </w:p>
    <w:p w14:paraId="504D164D" w14:textId="2D373EAF" w:rsidR="009E15E3" w:rsidRDefault="009E15E3" w:rsidP="009E15E3">
      <w:pPr>
        <w:pStyle w:val="Default"/>
        <w:rPr>
          <w:sz w:val="23"/>
          <w:szCs w:val="23"/>
        </w:rPr>
      </w:pPr>
      <w:r>
        <w:rPr>
          <w:sz w:val="23"/>
          <w:szCs w:val="23"/>
        </w:rPr>
        <w:t xml:space="preserve">The  building is permanent </w:t>
      </w:r>
      <w:r w:rsidR="00F04504">
        <w:rPr>
          <w:sz w:val="23"/>
          <w:szCs w:val="23"/>
        </w:rPr>
        <w:t xml:space="preserve">and of </w:t>
      </w:r>
      <w:r>
        <w:rPr>
          <w:sz w:val="23"/>
          <w:szCs w:val="23"/>
        </w:rPr>
        <w:t>substantial construction.</w:t>
      </w:r>
    </w:p>
    <w:p w14:paraId="4D9FE7B3" w14:textId="77777777" w:rsidR="00F04504" w:rsidRDefault="00F04504" w:rsidP="009E15E3">
      <w:pPr>
        <w:pStyle w:val="Default"/>
        <w:rPr>
          <w:sz w:val="23"/>
          <w:szCs w:val="23"/>
        </w:rPr>
      </w:pPr>
    </w:p>
    <w:p w14:paraId="385D57D9" w14:textId="3B6C87BB" w:rsidR="009E15E3" w:rsidRDefault="009E15E3" w:rsidP="009E15E3">
      <w:pPr>
        <w:pStyle w:val="Default"/>
        <w:rPr>
          <w:sz w:val="23"/>
          <w:szCs w:val="23"/>
        </w:rPr>
      </w:pPr>
      <w:r>
        <w:rPr>
          <w:sz w:val="23"/>
          <w:szCs w:val="23"/>
        </w:rPr>
        <w:t>As it’s construction is lawful, it cannot be said to have an adverse effect upon openness or the purposed of the Green Belt.</w:t>
      </w:r>
    </w:p>
    <w:p w14:paraId="6FFFEB6F" w14:textId="77777777" w:rsidR="009E15E3" w:rsidRDefault="009E15E3" w:rsidP="009E15E3">
      <w:pPr>
        <w:pStyle w:val="Default"/>
        <w:rPr>
          <w:sz w:val="23"/>
          <w:szCs w:val="23"/>
        </w:rPr>
      </w:pPr>
    </w:p>
    <w:p w14:paraId="47F7E5BA" w14:textId="77777777" w:rsidR="009E15E3" w:rsidRDefault="009E15E3" w:rsidP="009E15E3">
      <w:pPr>
        <w:pStyle w:val="Default"/>
        <w:rPr>
          <w:sz w:val="23"/>
          <w:szCs w:val="23"/>
        </w:rPr>
      </w:pPr>
      <w:r>
        <w:rPr>
          <w:sz w:val="23"/>
          <w:szCs w:val="23"/>
        </w:rPr>
        <w:t>Therefore , its use for a dwelling would meet the Framework test for its use as a dwelling</w:t>
      </w:r>
    </w:p>
    <w:p w14:paraId="2A7D502D" w14:textId="77777777" w:rsidR="00AC7E0A" w:rsidRDefault="00AC7E0A" w:rsidP="00E93722">
      <w:pPr>
        <w:spacing w:line="360" w:lineRule="auto"/>
        <w:ind w:firstLine="0"/>
        <w:jc w:val="left"/>
        <w:rPr>
          <w:i/>
          <w:iCs/>
        </w:rPr>
      </w:pPr>
    </w:p>
    <w:p w14:paraId="05D987B9" w14:textId="735BF971" w:rsidR="00BA7D1F" w:rsidRPr="00E93722" w:rsidRDefault="00F66A82" w:rsidP="00E93722">
      <w:pPr>
        <w:spacing w:line="360" w:lineRule="auto"/>
        <w:ind w:firstLine="0"/>
        <w:jc w:val="left"/>
        <w:rPr>
          <w:i/>
          <w:iCs/>
        </w:rPr>
      </w:pPr>
      <w:r w:rsidRPr="00E93722">
        <w:rPr>
          <w:i/>
          <w:iCs/>
        </w:rPr>
        <w:t>Very special circumstances</w:t>
      </w:r>
    </w:p>
    <w:p w14:paraId="554F46E6" w14:textId="6414A50E" w:rsidR="00F66A82" w:rsidRDefault="00F66A82" w:rsidP="00E93722">
      <w:pPr>
        <w:spacing w:line="360" w:lineRule="auto"/>
        <w:ind w:firstLine="0"/>
        <w:jc w:val="left"/>
      </w:pPr>
      <w:r w:rsidRPr="00E93722">
        <w:t xml:space="preserve">As the proposed </w:t>
      </w:r>
      <w:r w:rsidR="009F1A5C" w:rsidRPr="00E93722">
        <w:t>development</w:t>
      </w:r>
      <w:r w:rsidRPr="00E93722">
        <w:t xml:space="preserve"> is not </w:t>
      </w:r>
      <w:r w:rsidR="009F1A5C" w:rsidRPr="00E93722">
        <w:t>inappropriate</w:t>
      </w:r>
      <w:r w:rsidRPr="00E93722">
        <w:t xml:space="preserve">, it is not necessary to consider </w:t>
      </w:r>
      <w:r w:rsidR="00E93722" w:rsidRPr="00E93722">
        <w:t>very special circumstances</w:t>
      </w:r>
    </w:p>
    <w:p w14:paraId="5EFEBEC1" w14:textId="5C167DCA" w:rsidR="00E93722" w:rsidRDefault="00E93722" w:rsidP="00E93722">
      <w:pPr>
        <w:spacing w:line="360" w:lineRule="auto"/>
        <w:ind w:firstLine="0"/>
        <w:jc w:val="left"/>
        <w:rPr>
          <w:b/>
          <w:bCs/>
        </w:rPr>
      </w:pPr>
      <w:r w:rsidRPr="007E6CAC">
        <w:rPr>
          <w:b/>
          <w:bCs/>
        </w:rPr>
        <w:t>Oth</w:t>
      </w:r>
      <w:r w:rsidR="007E6CAC" w:rsidRPr="007E6CAC">
        <w:rPr>
          <w:b/>
          <w:bCs/>
        </w:rPr>
        <w:t>er  Matters</w:t>
      </w:r>
    </w:p>
    <w:p w14:paraId="0AFA4801" w14:textId="2601F6A8" w:rsidR="007E6CAC" w:rsidRPr="002F3CA2" w:rsidRDefault="009F1A5C" w:rsidP="00E93722">
      <w:pPr>
        <w:spacing w:line="360" w:lineRule="auto"/>
        <w:ind w:firstLine="0"/>
        <w:jc w:val="left"/>
        <w:rPr>
          <w:i/>
          <w:iCs/>
        </w:rPr>
      </w:pPr>
      <w:r w:rsidRPr="002F3CA2">
        <w:rPr>
          <w:i/>
          <w:iCs/>
        </w:rPr>
        <w:t>Biodiversity</w:t>
      </w:r>
      <w:r w:rsidR="00596B1E" w:rsidRPr="002F3CA2">
        <w:rPr>
          <w:i/>
          <w:iCs/>
        </w:rPr>
        <w:t xml:space="preserve"> </w:t>
      </w:r>
      <w:r>
        <w:rPr>
          <w:i/>
          <w:iCs/>
        </w:rPr>
        <w:t>N</w:t>
      </w:r>
      <w:r w:rsidR="00596B1E" w:rsidRPr="002F3CA2">
        <w:rPr>
          <w:i/>
          <w:iCs/>
        </w:rPr>
        <w:t>et Gain (BNG)</w:t>
      </w:r>
    </w:p>
    <w:p w14:paraId="436676BE" w14:textId="2C67514C" w:rsidR="002E511E" w:rsidRDefault="002018F8" w:rsidP="00E93722">
      <w:pPr>
        <w:spacing w:line="360" w:lineRule="auto"/>
        <w:ind w:firstLine="0"/>
        <w:jc w:val="left"/>
      </w:pPr>
      <w:r>
        <w:t xml:space="preserve">The building already exists and application is made for it </w:t>
      </w:r>
      <w:r w:rsidR="00830D2C">
        <w:t>retrospectively</w:t>
      </w:r>
      <w:r>
        <w:t xml:space="preserve">. </w:t>
      </w:r>
      <w:r w:rsidR="00830D2C">
        <w:t>In that sense, retrospective applications are not included within the requirement of BNG</w:t>
      </w:r>
      <w:r w:rsidR="0030246D">
        <w:t>.</w:t>
      </w:r>
    </w:p>
    <w:p w14:paraId="1CC687E5" w14:textId="29938D87" w:rsidR="0030246D" w:rsidRDefault="0030246D" w:rsidP="00E93722">
      <w:pPr>
        <w:spacing w:line="360" w:lineRule="auto"/>
        <w:ind w:firstLine="0"/>
        <w:jc w:val="left"/>
      </w:pPr>
      <w:r>
        <w:t>The Government has announced that sites of less than 0.2ha, as in this case, are to be exempt from the BNG legislation.</w:t>
      </w:r>
    </w:p>
    <w:p w14:paraId="23C7C3AD" w14:textId="315E9A2B" w:rsidR="0030246D" w:rsidRDefault="0030246D" w:rsidP="00E93722">
      <w:pPr>
        <w:spacing w:line="360" w:lineRule="auto"/>
        <w:ind w:firstLine="0"/>
        <w:jc w:val="left"/>
      </w:pPr>
      <w:r>
        <w:t xml:space="preserve">Notwithstanding the above, we have submitted </w:t>
      </w:r>
      <w:r w:rsidR="00C246A6">
        <w:t xml:space="preserve">the GNG metric and calculations which were submitted with regard to the earlier application for a holiday let and where </w:t>
      </w:r>
      <w:r w:rsidR="00BA079A">
        <w:t>biodiversity conditions have not changed</w:t>
      </w:r>
    </w:p>
    <w:p w14:paraId="4D68EC43" w14:textId="2832E7C8" w:rsidR="00783A5C" w:rsidRDefault="00BA079A" w:rsidP="00E93722">
      <w:pPr>
        <w:spacing w:line="360" w:lineRule="auto"/>
        <w:ind w:firstLine="0"/>
        <w:jc w:val="left"/>
      </w:pPr>
      <w:r>
        <w:t xml:space="preserve">Further, </w:t>
      </w:r>
      <w:r w:rsidR="00783A5C">
        <w:t xml:space="preserve"> we accept that the National Planning Policy Framework </w:t>
      </w:r>
      <w:r>
        <w:t>requires</w:t>
      </w:r>
      <w:r w:rsidR="00783A5C">
        <w:t xml:space="preserve"> some ecological enhancement and we would accept a condition that 1 no bat box and I no sparrow box (the latter to accommodate several sparrows) shall be provided prior to the first occupation of the property</w:t>
      </w:r>
    </w:p>
    <w:p w14:paraId="3AD1A7E2" w14:textId="3023CC59" w:rsidR="007E6CAC" w:rsidRDefault="007D6B7D" w:rsidP="00E93722">
      <w:pPr>
        <w:spacing w:line="360" w:lineRule="auto"/>
        <w:ind w:firstLine="0"/>
        <w:jc w:val="left"/>
        <w:rPr>
          <w:i/>
          <w:iCs/>
        </w:rPr>
      </w:pPr>
      <w:r w:rsidRPr="007D6B7D">
        <w:rPr>
          <w:i/>
          <w:iCs/>
        </w:rPr>
        <w:t>Drainage</w:t>
      </w:r>
    </w:p>
    <w:p w14:paraId="446E05A8" w14:textId="6DA1266B" w:rsidR="007D6B7D" w:rsidRDefault="00BF479D" w:rsidP="00E93722">
      <w:pPr>
        <w:spacing w:line="360" w:lineRule="auto"/>
        <w:ind w:firstLine="0"/>
        <w:jc w:val="left"/>
      </w:pPr>
      <w:r>
        <w:t xml:space="preserve">The same drainage plans as for the proposed </w:t>
      </w:r>
      <w:r w:rsidR="00D94E28">
        <w:t>holiday</w:t>
      </w:r>
      <w:r>
        <w:t xml:space="preserve"> let are again proposed</w:t>
      </w:r>
      <w:r w:rsidR="00D94E28">
        <w:t>.</w:t>
      </w:r>
    </w:p>
    <w:p w14:paraId="27D4E4B0" w14:textId="5B7A657A" w:rsidR="00D94E28" w:rsidRDefault="00D94E28" w:rsidP="00E93722">
      <w:pPr>
        <w:spacing w:line="360" w:lineRule="auto"/>
        <w:ind w:firstLine="0"/>
        <w:jc w:val="left"/>
      </w:pPr>
      <w:r>
        <w:t xml:space="preserve">We consider that these are </w:t>
      </w:r>
      <w:r w:rsidR="000A1404">
        <w:t>self-evident</w:t>
      </w:r>
      <w:r w:rsidR="005621FE">
        <w:t xml:space="preserve"> and appropriate.</w:t>
      </w:r>
    </w:p>
    <w:p w14:paraId="3852EF55" w14:textId="2B2331FA" w:rsidR="005621FE" w:rsidRPr="00BF479D" w:rsidRDefault="005621FE" w:rsidP="00E93722">
      <w:pPr>
        <w:spacing w:line="360" w:lineRule="auto"/>
        <w:ind w:firstLine="0"/>
        <w:jc w:val="left"/>
      </w:pPr>
      <w:r>
        <w:lastRenderedPageBreak/>
        <w:t>However, even if a different view were to be taken, the In</w:t>
      </w:r>
      <w:r w:rsidR="00A3076C">
        <w:t>spector</w:t>
      </w:r>
      <w:r w:rsidR="00852EFF">
        <w:t>,</w:t>
      </w:r>
      <w:r w:rsidR="00A3076C">
        <w:t xml:space="preserve"> </w:t>
      </w:r>
      <w:r>
        <w:t xml:space="preserve"> when determining the earlier appeal noted that </w:t>
      </w:r>
    </w:p>
    <w:p w14:paraId="6B9A28C7" w14:textId="7EC987BA" w:rsidR="00064DAC" w:rsidRPr="000A1404" w:rsidRDefault="00341DC2" w:rsidP="00341DC2">
      <w:pPr>
        <w:pStyle w:val="Default"/>
        <w:spacing w:line="360" w:lineRule="auto"/>
        <w:rPr>
          <w:i/>
          <w:iCs/>
        </w:rPr>
      </w:pPr>
      <w:r w:rsidRPr="000A1404">
        <w:rPr>
          <w:i/>
          <w:iCs/>
        </w:rPr>
        <w:t>‘</w:t>
      </w:r>
      <w:r w:rsidR="00064DAC" w:rsidRPr="000A1404">
        <w:rPr>
          <w:i/>
          <w:iCs/>
        </w:rPr>
        <w:t xml:space="preserve">Disposal of Sewage </w:t>
      </w:r>
    </w:p>
    <w:p w14:paraId="141B56AD" w14:textId="77777777" w:rsidR="00064DAC" w:rsidRPr="000A1404" w:rsidRDefault="00064DAC" w:rsidP="00341DC2">
      <w:pPr>
        <w:pStyle w:val="Default"/>
        <w:spacing w:line="360" w:lineRule="auto"/>
        <w:rPr>
          <w:i/>
          <w:iCs/>
        </w:rPr>
      </w:pPr>
      <w:r w:rsidRPr="000A1404">
        <w:rPr>
          <w:i/>
          <w:iCs/>
        </w:rPr>
        <w:t xml:space="preserve">15. Policy EM/8 of the Rochdale Unitary Development Plan requires that development proposals should make satisfactory arrangements for the disposal of sewage. Building regulations approval has been obtained for the means of providing sewage disposal though the use of a biodisc. From the evidence before me and having regard to the nature and scale of the development, I can see no reason that submission, approval and implementation of an appropriate means of disposing of sewage could not be secured by means of a suitably worded planning condition. </w:t>
      </w:r>
    </w:p>
    <w:p w14:paraId="7BCFD6FC" w14:textId="398ED5D2" w:rsidR="007E6CAC" w:rsidRPr="000A1404" w:rsidRDefault="00064DAC" w:rsidP="00341DC2">
      <w:pPr>
        <w:spacing w:line="360" w:lineRule="auto"/>
        <w:ind w:firstLine="0"/>
        <w:jc w:val="left"/>
        <w:rPr>
          <w:i/>
          <w:iCs/>
        </w:rPr>
      </w:pPr>
      <w:r w:rsidRPr="000A1404">
        <w:rPr>
          <w:i/>
          <w:iCs/>
        </w:rPr>
        <w:t>16. Therefore, subject to a suitably worded condition, the proposal makes adequate provision for the disposal of sewage, and I find no conflict with Policy EM/8 and Policy G8 of the Rochdale Core Strategy (2016)</w:t>
      </w:r>
      <w:r w:rsidR="00E248CB" w:rsidRPr="000A1404">
        <w:rPr>
          <w:i/>
          <w:iCs/>
        </w:rPr>
        <w:t>’</w:t>
      </w:r>
      <w:r w:rsidRPr="000A1404">
        <w:rPr>
          <w:i/>
          <w:iCs/>
        </w:rPr>
        <w:t>.</w:t>
      </w:r>
    </w:p>
    <w:p w14:paraId="55D09F0C" w14:textId="77777777" w:rsidR="007E6CAC" w:rsidRPr="00E93722" w:rsidRDefault="007E6CAC" w:rsidP="00E93722">
      <w:pPr>
        <w:spacing w:line="360" w:lineRule="auto"/>
        <w:ind w:firstLine="0"/>
        <w:jc w:val="left"/>
      </w:pPr>
    </w:p>
    <w:sectPr w:rsidR="007E6CAC" w:rsidRPr="00E93722" w:rsidSect="00436BDD">
      <w:footerReference w:type="default" r:id="rId13"/>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FB3C4" w14:textId="77777777" w:rsidR="008F379C" w:rsidRDefault="008F379C" w:rsidP="00BA7D1F">
      <w:pPr>
        <w:spacing w:after="0"/>
      </w:pPr>
      <w:r>
        <w:separator/>
      </w:r>
    </w:p>
  </w:endnote>
  <w:endnote w:type="continuationSeparator" w:id="0">
    <w:p w14:paraId="2CEFEBB3" w14:textId="77777777" w:rsidR="008F379C" w:rsidRDefault="008F379C" w:rsidP="00BA7D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342333"/>
      <w:docPartObj>
        <w:docPartGallery w:val="Page Numbers (Bottom of Page)"/>
        <w:docPartUnique/>
      </w:docPartObj>
    </w:sdtPr>
    <w:sdtEndPr/>
    <w:sdtContent>
      <w:p w14:paraId="11EB611A" w14:textId="1EEB8822" w:rsidR="002904D8" w:rsidRDefault="002904D8">
        <w:pPr>
          <w:pStyle w:val="Footer"/>
        </w:pPr>
        <w:r>
          <w:fldChar w:fldCharType="begin"/>
        </w:r>
        <w:r>
          <w:instrText>PAGE   \* MERGEFORMAT</w:instrText>
        </w:r>
        <w:r>
          <w:fldChar w:fldCharType="separate"/>
        </w:r>
        <w:r>
          <w:t>2</w:t>
        </w:r>
        <w:r>
          <w:fldChar w:fldCharType="end"/>
        </w:r>
      </w:p>
    </w:sdtContent>
  </w:sdt>
  <w:p w14:paraId="6812B66A" w14:textId="77777777" w:rsidR="002904D8" w:rsidRDefault="002904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2B9AE" w14:textId="77777777" w:rsidR="008F379C" w:rsidRDefault="008F379C" w:rsidP="00BA7D1F">
      <w:pPr>
        <w:spacing w:after="0"/>
      </w:pPr>
      <w:r>
        <w:separator/>
      </w:r>
    </w:p>
  </w:footnote>
  <w:footnote w:type="continuationSeparator" w:id="0">
    <w:p w14:paraId="15839678" w14:textId="77777777" w:rsidR="008F379C" w:rsidRDefault="008F379C" w:rsidP="00BA7D1F">
      <w:pPr>
        <w:spacing w:after="0"/>
      </w:pPr>
      <w:r>
        <w:continuationSeparator/>
      </w:r>
    </w:p>
  </w:footnote>
  <w:footnote w:id="1">
    <w:p w14:paraId="5019601E" w14:textId="2D948BB6" w:rsidR="00BA7D1F" w:rsidRPr="002904D8" w:rsidRDefault="00BA7D1F" w:rsidP="00BA7D1F">
      <w:pPr>
        <w:pStyle w:val="Default"/>
        <w:rPr>
          <w:sz w:val="22"/>
          <w:szCs w:val="22"/>
        </w:rPr>
      </w:pPr>
      <w:r w:rsidRPr="002904D8">
        <w:rPr>
          <w:rStyle w:val="FootnoteReference"/>
          <w:sz w:val="22"/>
          <w:szCs w:val="22"/>
        </w:rPr>
        <w:footnoteRef/>
      </w:r>
      <w:r w:rsidRPr="002904D8">
        <w:rPr>
          <w:sz w:val="22"/>
          <w:szCs w:val="22"/>
        </w:rPr>
        <w:t xml:space="preserve">  APP/P4225/W/24/3356528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2EE7E7"/>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201DE4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5DD50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75DBA2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22998123">
    <w:abstractNumId w:val="1"/>
  </w:num>
  <w:num w:numId="2" w16cid:durableId="169180432">
    <w:abstractNumId w:val="2"/>
  </w:num>
  <w:num w:numId="3" w16cid:durableId="329989549">
    <w:abstractNumId w:val="3"/>
  </w:num>
  <w:num w:numId="4" w16cid:durableId="22368597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1F"/>
    <w:rsid w:val="00004B2B"/>
    <w:rsid w:val="00007C18"/>
    <w:rsid w:val="0001022D"/>
    <w:rsid w:val="000129BC"/>
    <w:rsid w:val="0002475C"/>
    <w:rsid w:val="00051211"/>
    <w:rsid w:val="00057B40"/>
    <w:rsid w:val="0006061C"/>
    <w:rsid w:val="0006227E"/>
    <w:rsid w:val="00064DAC"/>
    <w:rsid w:val="00066279"/>
    <w:rsid w:val="00071F35"/>
    <w:rsid w:val="00083EF9"/>
    <w:rsid w:val="000911D3"/>
    <w:rsid w:val="00092EAD"/>
    <w:rsid w:val="0009559A"/>
    <w:rsid w:val="00097006"/>
    <w:rsid w:val="000A1404"/>
    <w:rsid w:val="000A2A02"/>
    <w:rsid w:val="000B36A3"/>
    <w:rsid w:val="000C06AD"/>
    <w:rsid w:val="000C0C50"/>
    <w:rsid w:val="000C1BBA"/>
    <w:rsid w:val="000C2650"/>
    <w:rsid w:val="000D457F"/>
    <w:rsid w:val="000E02E3"/>
    <w:rsid w:val="000E12C0"/>
    <w:rsid w:val="000E5D26"/>
    <w:rsid w:val="000F0919"/>
    <w:rsid w:val="000F2E2E"/>
    <w:rsid w:val="000F7BD9"/>
    <w:rsid w:val="00106886"/>
    <w:rsid w:val="00111030"/>
    <w:rsid w:val="00115304"/>
    <w:rsid w:val="00126A89"/>
    <w:rsid w:val="00133466"/>
    <w:rsid w:val="00134101"/>
    <w:rsid w:val="0013598F"/>
    <w:rsid w:val="00146CEE"/>
    <w:rsid w:val="00163BA5"/>
    <w:rsid w:val="00167461"/>
    <w:rsid w:val="0018036A"/>
    <w:rsid w:val="00195299"/>
    <w:rsid w:val="001B519F"/>
    <w:rsid w:val="001D12F7"/>
    <w:rsid w:val="001D7112"/>
    <w:rsid w:val="002018F8"/>
    <w:rsid w:val="002112AC"/>
    <w:rsid w:val="002112EA"/>
    <w:rsid w:val="00242003"/>
    <w:rsid w:val="00252C0D"/>
    <w:rsid w:val="00260D0C"/>
    <w:rsid w:val="002610E0"/>
    <w:rsid w:val="002702E8"/>
    <w:rsid w:val="002904D8"/>
    <w:rsid w:val="0029220A"/>
    <w:rsid w:val="00293D0B"/>
    <w:rsid w:val="002A5302"/>
    <w:rsid w:val="002C0FCA"/>
    <w:rsid w:val="002C3349"/>
    <w:rsid w:val="002E2FF9"/>
    <w:rsid w:val="002E511E"/>
    <w:rsid w:val="002F3CA2"/>
    <w:rsid w:val="0030246D"/>
    <w:rsid w:val="003133A4"/>
    <w:rsid w:val="00316660"/>
    <w:rsid w:val="00316B41"/>
    <w:rsid w:val="00316F97"/>
    <w:rsid w:val="00323392"/>
    <w:rsid w:val="003302C6"/>
    <w:rsid w:val="003351C8"/>
    <w:rsid w:val="00341DC2"/>
    <w:rsid w:val="00354685"/>
    <w:rsid w:val="00355052"/>
    <w:rsid w:val="00357A81"/>
    <w:rsid w:val="003615CE"/>
    <w:rsid w:val="003734CF"/>
    <w:rsid w:val="00380D16"/>
    <w:rsid w:val="00381FC7"/>
    <w:rsid w:val="0039195B"/>
    <w:rsid w:val="003B2746"/>
    <w:rsid w:val="003C08BC"/>
    <w:rsid w:val="003E136B"/>
    <w:rsid w:val="003F0115"/>
    <w:rsid w:val="003F48F5"/>
    <w:rsid w:val="00404BCF"/>
    <w:rsid w:val="00404DB1"/>
    <w:rsid w:val="00421B7B"/>
    <w:rsid w:val="00425DBC"/>
    <w:rsid w:val="00436BDD"/>
    <w:rsid w:val="00440DCF"/>
    <w:rsid w:val="004442F3"/>
    <w:rsid w:val="00452986"/>
    <w:rsid w:val="00455488"/>
    <w:rsid w:val="00486C89"/>
    <w:rsid w:val="00491007"/>
    <w:rsid w:val="00496D89"/>
    <w:rsid w:val="00497BC2"/>
    <w:rsid w:val="004F54ED"/>
    <w:rsid w:val="004F6C42"/>
    <w:rsid w:val="00503CD6"/>
    <w:rsid w:val="00520007"/>
    <w:rsid w:val="00534561"/>
    <w:rsid w:val="00535211"/>
    <w:rsid w:val="00537564"/>
    <w:rsid w:val="00546E1A"/>
    <w:rsid w:val="00547B10"/>
    <w:rsid w:val="005613AC"/>
    <w:rsid w:val="005621FE"/>
    <w:rsid w:val="00562514"/>
    <w:rsid w:val="0059208D"/>
    <w:rsid w:val="00596B1E"/>
    <w:rsid w:val="005A4B39"/>
    <w:rsid w:val="005A59E7"/>
    <w:rsid w:val="005B774B"/>
    <w:rsid w:val="005C30DC"/>
    <w:rsid w:val="00605684"/>
    <w:rsid w:val="00622722"/>
    <w:rsid w:val="00625295"/>
    <w:rsid w:val="006508EF"/>
    <w:rsid w:val="00654B3F"/>
    <w:rsid w:val="00657E06"/>
    <w:rsid w:val="006651B3"/>
    <w:rsid w:val="006B034E"/>
    <w:rsid w:val="006B1D3B"/>
    <w:rsid w:val="006B2E33"/>
    <w:rsid w:val="006B3F72"/>
    <w:rsid w:val="006B50A2"/>
    <w:rsid w:val="006D129D"/>
    <w:rsid w:val="006D4DCE"/>
    <w:rsid w:val="006E3C9D"/>
    <w:rsid w:val="006E4817"/>
    <w:rsid w:val="006E5861"/>
    <w:rsid w:val="006F065E"/>
    <w:rsid w:val="007224C5"/>
    <w:rsid w:val="00723825"/>
    <w:rsid w:val="00724DA8"/>
    <w:rsid w:val="0074055B"/>
    <w:rsid w:val="00762047"/>
    <w:rsid w:val="007664EF"/>
    <w:rsid w:val="00783A5C"/>
    <w:rsid w:val="0078746A"/>
    <w:rsid w:val="007B16AF"/>
    <w:rsid w:val="007B761F"/>
    <w:rsid w:val="007D1646"/>
    <w:rsid w:val="007D6B7D"/>
    <w:rsid w:val="007E6CAC"/>
    <w:rsid w:val="007F408E"/>
    <w:rsid w:val="0080173A"/>
    <w:rsid w:val="008121D0"/>
    <w:rsid w:val="0081504D"/>
    <w:rsid w:val="00817234"/>
    <w:rsid w:val="00830D2C"/>
    <w:rsid w:val="008449B5"/>
    <w:rsid w:val="008453E6"/>
    <w:rsid w:val="00852EFF"/>
    <w:rsid w:val="00874EDE"/>
    <w:rsid w:val="00883490"/>
    <w:rsid w:val="00884251"/>
    <w:rsid w:val="008A3C21"/>
    <w:rsid w:val="008A625B"/>
    <w:rsid w:val="008B31A9"/>
    <w:rsid w:val="008D6B17"/>
    <w:rsid w:val="008E33C8"/>
    <w:rsid w:val="008E3BF6"/>
    <w:rsid w:val="008E42D5"/>
    <w:rsid w:val="008F379C"/>
    <w:rsid w:val="009033F5"/>
    <w:rsid w:val="00906C85"/>
    <w:rsid w:val="009074E0"/>
    <w:rsid w:val="00910797"/>
    <w:rsid w:val="00925422"/>
    <w:rsid w:val="00932775"/>
    <w:rsid w:val="00935466"/>
    <w:rsid w:val="00942F2B"/>
    <w:rsid w:val="00951459"/>
    <w:rsid w:val="0095343E"/>
    <w:rsid w:val="00983789"/>
    <w:rsid w:val="00991D5F"/>
    <w:rsid w:val="00996548"/>
    <w:rsid w:val="00996B3C"/>
    <w:rsid w:val="009A1F55"/>
    <w:rsid w:val="009B23CF"/>
    <w:rsid w:val="009C007E"/>
    <w:rsid w:val="009C6E72"/>
    <w:rsid w:val="009D0FD2"/>
    <w:rsid w:val="009E15E3"/>
    <w:rsid w:val="009F1A5C"/>
    <w:rsid w:val="009F2400"/>
    <w:rsid w:val="00A3076C"/>
    <w:rsid w:val="00A417B4"/>
    <w:rsid w:val="00A42C97"/>
    <w:rsid w:val="00A4317F"/>
    <w:rsid w:val="00A55EFB"/>
    <w:rsid w:val="00A668C4"/>
    <w:rsid w:val="00A7111C"/>
    <w:rsid w:val="00A7138C"/>
    <w:rsid w:val="00A95981"/>
    <w:rsid w:val="00AA058B"/>
    <w:rsid w:val="00AB08C5"/>
    <w:rsid w:val="00AB245F"/>
    <w:rsid w:val="00AC1AD9"/>
    <w:rsid w:val="00AC7E0A"/>
    <w:rsid w:val="00AD0335"/>
    <w:rsid w:val="00AD4A8F"/>
    <w:rsid w:val="00AD50E9"/>
    <w:rsid w:val="00AD58E8"/>
    <w:rsid w:val="00AF0E8A"/>
    <w:rsid w:val="00AF380F"/>
    <w:rsid w:val="00B0359C"/>
    <w:rsid w:val="00B06CCE"/>
    <w:rsid w:val="00B13DF2"/>
    <w:rsid w:val="00B21082"/>
    <w:rsid w:val="00B2426D"/>
    <w:rsid w:val="00B27A2E"/>
    <w:rsid w:val="00B3086B"/>
    <w:rsid w:val="00B35985"/>
    <w:rsid w:val="00B72BFB"/>
    <w:rsid w:val="00B80862"/>
    <w:rsid w:val="00B9104C"/>
    <w:rsid w:val="00BA079A"/>
    <w:rsid w:val="00BA7D1F"/>
    <w:rsid w:val="00BE256C"/>
    <w:rsid w:val="00BF479D"/>
    <w:rsid w:val="00C05C9F"/>
    <w:rsid w:val="00C109E3"/>
    <w:rsid w:val="00C12A25"/>
    <w:rsid w:val="00C246A6"/>
    <w:rsid w:val="00C35BA9"/>
    <w:rsid w:val="00C47840"/>
    <w:rsid w:val="00C61823"/>
    <w:rsid w:val="00C61C7D"/>
    <w:rsid w:val="00C7300B"/>
    <w:rsid w:val="00C95D29"/>
    <w:rsid w:val="00CC630D"/>
    <w:rsid w:val="00CD0E8B"/>
    <w:rsid w:val="00CD1C6F"/>
    <w:rsid w:val="00CF033C"/>
    <w:rsid w:val="00CF74F7"/>
    <w:rsid w:val="00D01419"/>
    <w:rsid w:val="00D10840"/>
    <w:rsid w:val="00D13203"/>
    <w:rsid w:val="00D327F4"/>
    <w:rsid w:val="00D352B8"/>
    <w:rsid w:val="00D36CC6"/>
    <w:rsid w:val="00D42ACE"/>
    <w:rsid w:val="00D60539"/>
    <w:rsid w:val="00D63F99"/>
    <w:rsid w:val="00D67979"/>
    <w:rsid w:val="00D762DC"/>
    <w:rsid w:val="00D81BFD"/>
    <w:rsid w:val="00D94E28"/>
    <w:rsid w:val="00DA4A01"/>
    <w:rsid w:val="00DB29A3"/>
    <w:rsid w:val="00DE45DA"/>
    <w:rsid w:val="00DE5C65"/>
    <w:rsid w:val="00E0109B"/>
    <w:rsid w:val="00E248CB"/>
    <w:rsid w:val="00E42F86"/>
    <w:rsid w:val="00E47831"/>
    <w:rsid w:val="00E51720"/>
    <w:rsid w:val="00E54DAF"/>
    <w:rsid w:val="00E57B75"/>
    <w:rsid w:val="00E67283"/>
    <w:rsid w:val="00E74FC8"/>
    <w:rsid w:val="00E800AE"/>
    <w:rsid w:val="00E84FBB"/>
    <w:rsid w:val="00E90CAB"/>
    <w:rsid w:val="00E91499"/>
    <w:rsid w:val="00E93722"/>
    <w:rsid w:val="00EB04F5"/>
    <w:rsid w:val="00ED5ABA"/>
    <w:rsid w:val="00ED66B3"/>
    <w:rsid w:val="00ED6ECA"/>
    <w:rsid w:val="00EE0903"/>
    <w:rsid w:val="00EE4F39"/>
    <w:rsid w:val="00EF5A20"/>
    <w:rsid w:val="00F04504"/>
    <w:rsid w:val="00F16DA8"/>
    <w:rsid w:val="00F17A43"/>
    <w:rsid w:val="00F26D0E"/>
    <w:rsid w:val="00F352F8"/>
    <w:rsid w:val="00F45B2D"/>
    <w:rsid w:val="00F45E67"/>
    <w:rsid w:val="00F504A4"/>
    <w:rsid w:val="00F556E8"/>
    <w:rsid w:val="00F66A82"/>
    <w:rsid w:val="00F728D9"/>
    <w:rsid w:val="00F908DC"/>
    <w:rsid w:val="00F914FC"/>
    <w:rsid w:val="00FA257F"/>
    <w:rsid w:val="00FB1D5F"/>
    <w:rsid w:val="00FC1F96"/>
    <w:rsid w:val="00FC2B82"/>
    <w:rsid w:val="00FD19B4"/>
    <w:rsid w:val="00FE007F"/>
    <w:rsid w:val="00FF2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EDF23"/>
  <w15:chartTrackingRefBased/>
  <w15:docId w15:val="{EB4A666D-97CE-48CB-9780-3FFF745DF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D1F"/>
    <w:pPr>
      <w:spacing w:after="240" w:line="240" w:lineRule="auto"/>
      <w:ind w:hanging="425"/>
      <w:jc w:val="center"/>
    </w:pPr>
    <w:rPr>
      <w:rFonts w:ascii="Arial" w:hAnsi="Arial" w:cs="Arial"/>
      <w:kern w:val="36"/>
      <w:szCs w:val="24"/>
      <w14:ligatures w14:val="none"/>
    </w:rPr>
  </w:style>
  <w:style w:type="paragraph" w:styleId="Heading1">
    <w:name w:val="heading 1"/>
    <w:basedOn w:val="Normal"/>
    <w:next w:val="Normal"/>
    <w:link w:val="Heading1Char"/>
    <w:uiPriority w:val="9"/>
    <w:qFormat/>
    <w:rsid w:val="00BA7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D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D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A7D1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A7D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A7D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A7D1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A7D1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D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D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D1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D1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A7D1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A7D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A7D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A7D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A7D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A7D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D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D1F"/>
    <w:pPr>
      <w:numPr>
        <w:ilvl w:val="1"/>
      </w:numPr>
      <w:ind w:hanging="425"/>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D1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A7D1F"/>
    <w:pPr>
      <w:spacing w:before="160"/>
    </w:pPr>
    <w:rPr>
      <w:i/>
      <w:iCs/>
      <w:color w:val="404040" w:themeColor="text1" w:themeTint="BF"/>
    </w:rPr>
  </w:style>
  <w:style w:type="character" w:customStyle="1" w:styleId="QuoteChar">
    <w:name w:val="Quote Char"/>
    <w:basedOn w:val="DefaultParagraphFont"/>
    <w:link w:val="Quote"/>
    <w:uiPriority w:val="29"/>
    <w:rsid w:val="00BA7D1F"/>
    <w:rPr>
      <w:i/>
      <w:iCs/>
      <w:color w:val="404040" w:themeColor="text1" w:themeTint="BF"/>
    </w:rPr>
  </w:style>
  <w:style w:type="paragraph" w:styleId="ListParagraph">
    <w:name w:val="List Paragraph"/>
    <w:basedOn w:val="Normal"/>
    <w:uiPriority w:val="34"/>
    <w:qFormat/>
    <w:rsid w:val="00BA7D1F"/>
    <w:pPr>
      <w:ind w:left="720"/>
      <w:contextualSpacing/>
    </w:pPr>
  </w:style>
  <w:style w:type="character" w:styleId="IntenseEmphasis">
    <w:name w:val="Intense Emphasis"/>
    <w:basedOn w:val="DefaultParagraphFont"/>
    <w:uiPriority w:val="21"/>
    <w:qFormat/>
    <w:rsid w:val="00BA7D1F"/>
    <w:rPr>
      <w:i/>
      <w:iCs/>
      <w:color w:val="0F4761" w:themeColor="accent1" w:themeShade="BF"/>
    </w:rPr>
  </w:style>
  <w:style w:type="paragraph" w:styleId="IntenseQuote">
    <w:name w:val="Intense Quote"/>
    <w:basedOn w:val="Normal"/>
    <w:next w:val="Normal"/>
    <w:link w:val="IntenseQuoteChar"/>
    <w:uiPriority w:val="30"/>
    <w:qFormat/>
    <w:rsid w:val="00BA7D1F"/>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BA7D1F"/>
    <w:rPr>
      <w:i/>
      <w:iCs/>
      <w:color w:val="0F4761" w:themeColor="accent1" w:themeShade="BF"/>
    </w:rPr>
  </w:style>
  <w:style w:type="character" w:styleId="IntenseReference">
    <w:name w:val="Intense Reference"/>
    <w:basedOn w:val="DefaultParagraphFont"/>
    <w:uiPriority w:val="32"/>
    <w:qFormat/>
    <w:rsid w:val="00BA7D1F"/>
    <w:rPr>
      <w:b/>
      <w:bCs/>
      <w:smallCaps/>
      <w:color w:val="0F4761" w:themeColor="accent1" w:themeShade="BF"/>
      <w:spacing w:val="5"/>
    </w:rPr>
  </w:style>
  <w:style w:type="paragraph" w:customStyle="1" w:styleId="TableContents">
    <w:name w:val="Table Contents"/>
    <w:basedOn w:val="Normal"/>
    <w:rsid w:val="00BA7D1F"/>
    <w:pPr>
      <w:widowControl w:val="0"/>
      <w:suppressLineNumbers/>
      <w:suppressAutoHyphens/>
    </w:pPr>
    <w:rPr>
      <w:rFonts w:ascii="Times New Roman" w:eastAsia="Lucida Sans Unicode" w:hAnsi="Times New Roman"/>
    </w:rPr>
  </w:style>
  <w:style w:type="paragraph" w:customStyle="1" w:styleId="TableHeading">
    <w:name w:val="Table Heading"/>
    <w:basedOn w:val="TableContents"/>
    <w:rsid w:val="00BA7D1F"/>
    <w:rPr>
      <w:b/>
      <w:bCs/>
      <w:i/>
      <w:iCs/>
    </w:rPr>
  </w:style>
  <w:style w:type="paragraph" w:customStyle="1" w:styleId="Default">
    <w:name w:val="Default"/>
    <w:rsid w:val="00BA7D1F"/>
    <w:pPr>
      <w:autoSpaceDE w:val="0"/>
      <w:autoSpaceDN w:val="0"/>
      <w:adjustRightInd w:val="0"/>
      <w:spacing w:after="0" w:line="240" w:lineRule="auto"/>
    </w:pPr>
    <w:rPr>
      <w:rFonts w:ascii="Arial" w:hAnsi="Arial" w:cs="Arial"/>
      <w:color w:val="000000"/>
      <w:kern w:val="0"/>
      <w:szCs w:val="24"/>
    </w:rPr>
  </w:style>
  <w:style w:type="paragraph" w:styleId="FootnoteText">
    <w:name w:val="footnote text"/>
    <w:basedOn w:val="Normal"/>
    <w:link w:val="FootnoteTextChar"/>
    <w:uiPriority w:val="99"/>
    <w:semiHidden/>
    <w:unhideWhenUsed/>
    <w:rsid w:val="00BA7D1F"/>
    <w:pPr>
      <w:spacing w:after="0"/>
    </w:pPr>
    <w:rPr>
      <w:sz w:val="20"/>
      <w:szCs w:val="20"/>
    </w:rPr>
  </w:style>
  <w:style w:type="character" w:customStyle="1" w:styleId="FootnoteTextChar">
    <w:name w:val="Footnote Text Char"/>
    <w:basedOn w:val="DefaultParagraphFont"/>
    <w:link w:val="FootnoteText"/>
    <w:uiPriority w:val="99"/>
    <w:semiHidden/>
    <w:rsid w:val="00BA7D1F"/>
    <w:rPr>
      <w:rFonts w:ascii="Arial" w:hAnsi="Arial" w:cs="Arial"/>
      <w:kern w:val="36"/>
      <w:sz w:val="20"/>
      <w:szCs w:val="20"/>
      <w14:ligatures w14:val="none"/>
    </w:rPr>
  </w:style>
  <w:style w:type="character" w:styleId="FootnoteReference">
    <w:name w:val="footnote reference"/>
    <w:basedOn w:val="DefaultParagraphFont"/>
    <w:uiPriority w:val="99"/>
    <w:semiHidden/>
    <w:unhideWhenUsed/>
    <w:rsid w:val="00BA7D1F"/>
    <w:rPr>
      <w:vertAlign w:val="superscript"/>
    </w:rPr>
  </w:style>
  <w:style w:type="paragraph" w:styleId="Header">
    <w:name w:val="header"/>
    <w:basedOn w:val="Normal"/>
    <w:link w:val="HeaderChar"/>
    <w:uiPriority w:val="99"/>
    <w:unhideWhenUsed/>
    <w:rsid w:val="002904D8"/>
    <w:pPr>
      <w:tabs>
        <w:tab w:val="center" w:pos="4513"/>
        <w:tab w:val="right" w:pos="9026"/>
      </w:tabs>
      <w:spacing w:after="0"/>
    </w:pPr>
  </w:style>
  <w:style w:type="character" w:customStyle="1" w:styleId="HeaderChar">
    <w:name w:val="Header Char"/>
    <w:basedOn w:val="DefaultParagraphFont"/>
    <w:link w:val="Header"/>
    <w:uiPriority w:val="99"/>
    <w:rsid w:val="002904D8"/>
    <w:rPr>
      <w:rFonts w:ascii="Arial" w:hAnsi="Arial" w:cs="Arial"/>
      <w:kern w:val="36"/>
      <w:szCs w:val="24"/>
      <w14:ligatures w14:val="none"/>
    </w:rPr>
  </w:style>
  <w:style w:type="paragraph" w:styleId="Footer">
    <w:name w:val="footer"/>
    <w:basedOn w:val="Normal"/>
    <w:link w:val="FooterChar"/>
    <w:uiPriority w:val="99"/>
    <w:unhideWhenUsed/>
    <w:rsid w:val="002904D8"/>
    <w:pPr>
      <w:tabs>
        <w:tab w:val="center" w:pos="4513"/>
        <w:tab w:val="right" w:pos="9026"/>
      </w:tabs>
      <w:spacing w:after="0"/>
    </w:pPr>
  </w:style>
  <w:style w:type="character" w:customStyle="1" w:styleId="FooterChar">
    <w:name w:val="Footer Char"/>
    <w:basedOn w:val="DefaultParagraphFont"/>
    <w:link w:val="Footer"/>
    <w:uiPriority w:val="99"/>
    <w:rsid w:val="002904D8"/>
    <w:rPr>
      <w:rFonts w:ascii="Arial" w:hAnsi="Arial" w:cs="Arial"/>
      <w:kern w:val="36"/>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gov.uk/uksi/2024/452/contents/ma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1990/8/section/171B"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81150-F7E0-49A6-B7BF-25D80C063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3770</Words>
  <Characters>21491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Hartley</dc:creator>
  <cp:keywords/>
  <dc:description/>
  <cp:lastModifiedBy>Steven Hartley</cp:lastModifiedBy>
  <cp:revision>2</cp:revision>
  <dcterms:created xsi:type="dcterms:W3CDTF">2026-04-08T16:04:00Z</dcterms:created>
  <dcterms:modified xsi:type="dcterms:W3CDTF">2026-04-08T16:04:00Z</dcterms:modified>
</cp:coreProperties>
</file>